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B" w:rsidRPr="00B45E59" w:rsidRDefault="00B45E59" w:rsidP="00B45E59">
      <w:pPr>
        <w:jc w:val="center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E59">
        <w:rPr>
          <w:rFonts w:ascii="HG丸ｺﾞｼｯｸM-PRO" w:eastAsia="HG丸ｺﾞｼｯｸM-PRO" w:hAnsi="HG丸ｺﾞｼｯｸM-PRO" w:hint="eastAsia"/>
          <w:b/>
          <w:color w:val="0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彦根市下水道事業における地方公営企業法適用への取組み</w:t>
      </w:r>
    </w:p>
    <w:p w:rsidR="00B45E59" w:rsidRDefault="00B45E59"/>
    <w:p w:rsidR="00B45E59" w:rsidRPr="00D87AF8" w:rsidRDefault="00962DFC" w:rsidP="00B45E59">
      <w:pPr>
        <w:rPr>
          <w:rFonts w:ascii="HG丸ｺﾞｼｯｸM-PRO" w:eastAsia="HG丸ｺﾞｼｯｸM-PRO" w:hAnsi="HG丸ｺﾞｼｯｸM-PRO"/>
        </w:rPr>
      </w:pPr>
      <w:r w:rsidRPr="00D87AF8">
        <w:rPr>
          <w:rFonts w:ascii="HG丸ｺﾞｼｯｸM-PRO" w:eastAsia="HG丸ｺﾞｼｯｸM-PRO" w:hAnsi="HG丸ｺﾞｼｯｸM-PRO" w:hint="eastAsia"/>
        </w:rPr>
        <w:t>1.</w:t>
      </w:r>
      <w:r w:rsidR="00D87AF8" w:rsidRPr="00D87AF8">
        <w:rPr>
          <w:rFonts w:ascii="HG丸ｺﾞｼｯｸM-PRO" w:eastAsia="HG丸ｺﾞｼｯｸM-PRO" w:hAnsi="HG丸ｺﾞｼｯｸM-PRO" w:hint="eastAsia"/>
        </w:rPr>
        <w:t xml:space="preserve"> </w:t>
      </w:r>
      <w:r w:rsidRPr="00D87AF8">
        <w:rPr>
          <w:rFonts w:ascii="HG丸ｺﾞｼｯｸM-PRO" w:eastAsia="HG丸ｺﾞｼｯｸM-PRO" w:hAnsi="HG丸ｺﾞｼｯｸM-PRO" w:hint="eastAsia"/>
        </w:rPr>
        <w:t>下水道事業の地方公営企業法の適用</w:t>
      </w:r>
    </w:p>
    <w:p w:rsidR="00B45E59" w:rsidRPr="00D87AF8" w:rsidRDefault="00962DFC" w:rsidP="00D87AF8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87AF8">
        <w:rPr>
          <w:rFonts w:ascii="HG丸ｺﾞｼｯｸM-PRO" w:eastAsia="HG丸ｺﾞｼｯｸM-PRO" w:hAnsi="HG丸ｺﾞｼｯｸM-PRO" w:hint="eastAsia"/>
        </w:rPr>
        <w:t>(1)下水道事業における地方公営企業法の適用</w:t>
      </w:r>
      <w:r w:rsidR="009E1C8B">
        <w:rPr>
          <w:rFonts w:ascii="HG丸ｺﾞｼｯｸM-PRO" w:eastAsia="HG丸ｺﾞｼｯｸM-PRO" w:hAnsi="HG丸ｺﾞｼｯｸM-PRO" w:hint="eastAsia"/>
        </w:rPr>
        <w:t>と背景</w:t>
      </w:r>
    </w:p>
    <w:p w:rsidR="009E1C8B" w:rsidRDefault="009E1C8B" w:rsidP="009E1C8B">
      <w:pPr>
        <w:ind w:leftChars="67" w:left="141" w:firstLineChars="100" w:firstLine="210"/>
        <w:rPr>
          <w:rFonts w:asciiTheme="minorEastAsia" w:hAnsiTheme="minorEastAsia"/>
        </w:rPr>
      </w:pPr>
      <w:r w:rsidRPr="009B0ACC">
        <w:rPr>
          <w:rFonts w:asciiTheme="minorEastAsia" w:hAnsiTheme="minorEastAsia" w:hint="eastAsia"/>
        </w:rPr>
        <w:t>下水道事業における地方公営企業法の適用とは</w:t>
      </w:r>
      <w:r>
        <w:rPr>
          <w:rFonts w:asciiTheme="minorEastAsia" w:hAnsiTheme="minorEastAsia" w:hint="eastAsia"/>
        </w:rPr>
        <w:t>、</w:t>
      </w:r>
      <w:r w:rsidRPr="00A605CD">
        <w:rPr>
          <w:rFonts w:asciiTheme="minorEastAsia" w:hAnsiTheme="minorEastAsia" w:hint="eastAsia"/>
        </w:rPr>
        <w:t>下水道事業において、地方公営企業法の全部適用、もしくは一部適用する</w:t>
      </w:r>
      <w:r>
        <w:rPr>
          <w:rFonts w:asciiTheme="minorEastAsia" w:hAnsiTheme="minorEastAsia" w:hint="eastAsia"/>
        </w:rPr>
        <w:t>ことであり、会計方式が官庁会計から公営企業会計に移行する。</w:t>
      </w:r>
    </w:p>
    <w:p w:rsidR="005737DD" w:rsidRDefault="009E1C8B" w:rsidP="009B0ACC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人口減少や少子高齢化などの社会情勢に加え、景気の動向などにより、地方公共団体の財政状況は、厳しさが増す中、</w:t>
      </w:r>
      <w:r w:rsidR="005737DD">
        <w:rPr>
          <w:rFonts w:asciiTheme="minorEastAsia" w:hAnsiTheme="minorEastAsia" w:hint="eastAsia"/>
        </w:rPr>
        <w:t>安定した下水道経営の実現を図り、持続的な下水道サービスを提供し続けるために、経営基盤の強化への取り組みが不可欠である。</w:t>
      </w:r>
    </w:p>
    <w:p w:rsidR="005737DD" w:rsidRDefault="00176505" w:rsidP="005737DD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下水道事業の経営の健全性や計画性・透明性の向上を図る取り組みの柱の一つと言われている</w:t>
      </w:r>
      <w:r w:rsidR="005737DD">
        <w:rPr>
          <w:rFonts w:asciiTheme="minorEastAsia" w:hAnsiTheme="minorEastAsia" w:hint="eastAsia"/>
        </w:rPr>
        <w:t>地方公営企業法の適用（以下、「法適化」とする）は、</w:t>
      </w:r>
      <w:r w:rsidR="005737DD" w:rsidRPr="005737DD">
        <w:rPr>
          <w:rFonts w:asciiTheme="minorEastAsia" w:hAnsiTheme="minorEastAsia" w:hint="eastAsia"/>
        </w:rPr>
        <w:t>総務省</w:t>
      </w:r>
      <w:r w:rsidR="00635B4B">
        <w:rPr>
          <w:rFonts w:asciiTheme="minorEastAsia" w:hAnsiTheme="minorEastAsia" w:hint="eastAsia"/>
        </w:rPr>
        <w:t>から</w:t>
      </w:r>
      <w:r w:rsidR="00635B4B" w:rsidRPr="005737DD">
        <w:rPr>
          <w:rFonts w:asciiTheme="minorEastAsia" w:hAnsiTheme="minorEastAsia" w:hint="eastAsia"/>
        </w:rPr>
        <w:t>「公営企業会計の適用に向けたロードマップ」</w:t>
      </w:r>
      <w:r w:rsidR="00635B4B">
        <w:rPr>
          <w:rFonts w:asciiTheme="minorEastAsia" w:hAnsiTheme="minorEastAsia" w:hint="eastAsia"/>
        </w:rPr>
        <w:t>（</w:t>
      </w:r>
      <w:r w:rsidR="00635B4B" w:rsidRPr="005737DD">
        <w:rPr>
          <w:rFonts w:asciiTheme="minorEastAsia" w:hAnsiTheme="minorEastAsia" w:hint="eastAsia"/>
        </w:rPr>
        <w:t>平成26年8月</w:t>
      </w:r>
      <w:r w:rsidR="00635B4B">
        <w:rPr>
          <w:rFonts w:asciiTheme="minorEastAsia" w:hAnsiTheme="minorEastAsia" w:hint="eastAsia"/>
        </w:rPr>
        <w:t>）、が示され、</w:t>
      </w:r>
      <w:r w:rsidR="00635B4B" w:rsidRPr="005737DD">
        <w:rPr>
          <w:rFonts w:asciiTheme="minorEastAsia" w:hAnsiTheme="minorEastAsia" w:hint="eastAsia"/>
        </w:rPr>
        <w:t>「公営企業会計の適用の推進について（要請）」（平成27年1月27日付総務大臣通知）</w:t>
      </w:r>
      <w:r w:rsidR="00B7259A">
        <w:rPr>
          <w:rFonts w:asciiTheme="minorEastAsia" w:hAnsiTheme="minorEastAsia" w:hint="eastAsia"/>
        </w:rPr>
        <w:t>にて、</w:t>
      </w:r>
      <w:r w:rsidR="005737DD" w:rsidRPr="005737DD">
        <w:rPr>
          <w:rFonts w:asciiTheme="minorEastAsia" w:hAnsiTheme="minorEastAsia" w:hint="eastAsia"/>
        </w:rPr>
        <w:t>『下水道事業及び簡易水道事業を運営する人口</w:t>
      </w:r>
      <w:r>
        <w:rPr>
          <w:rFonts w:asciiTheme="minorEastAsia" w:hAnsiTheme="minorEastAsia" w:hint="eastAsia"/>
        </w:rPr>
        <w:t>3</w:t>
      </w:r>
      <w:r w:rsidR="005737DD" w:rsidRPr="005737DD">
        <w:rPr>
          <w:rFonts w:asciiTheme="minorEastAsia" w:hAnsiTheme="minorEastAsia" w:hint="eastAsia"/>
        </w:rPr>
        <w:t>万人以上の団体について、平成32年4月までに公営企業会計に移行する』旨</w:t>
      </w:r>
      <w:r w:rsidR="00245E72">
        <w:rPr>
          <w:rFonts w:asciiTheme="minorEastAsia" w:hAnsiTheme="minorEastAsia" w:hint="eastAsia"/>
        </w:rPr>
        <w:t>、</w:t>
      </w:r>
      <w:r w:rsidR="005737DD" w:rsidRPr="005737DD">
        <w:rPr>
          <w:rFonts w:asciiTheme="minorEastAsia" w:hAnsiTheme="minorEastAsia" w:hint="eastAsia"/>
        </w:rPr>
        <w:t>要請があった。</w:t>
      </w:r>
    </w:p>
    <w:p w:rsidR="009E1C8B" w:rsidRDefault="009E1C8B" w:rsidP="008C7600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8E7768" w:rsidRDefault="00176505" w:rsidP="00176505">
      <w:pPr>
        <w:ind w:firstLineChars="50" w:firstLine="105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>
            <wp:extent cx="4124325" cy="2620753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55" cy="26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6E" w:rsidRPr="0022526E" w:rsidRDefault="0022526E" w:rsidP="0022526E">
      <w:pPr>
        <w:ind w:firstLineChars="50" w:firstLine="100"/>
        <w:jc w:val="right"/>
        <w:rPr>
          <w:rFonts w:asciiTheme="minorEastAsia" w:hAnsiTheme="minorEastAsia"/>
          <w:sz w:val="20"/>
          <w:szCs w:val="20"/>
        </w:rPr>
      </w:pPr>
      <w:r w:rsidRPr="0022526E">
        <w:rPr>
          <w:rFonts w:asciiTheme="minorEastAsia" w:hAnsiTheme="minorEastAsia" w:hint="eastAsia"/>
          <w:sz w:val="20"/>
          <w:szCs w:val="20"/>
        </w:rPr>
        <w:t>出典：「公営企業の経営に当っての留意事項」</w:t>
      </w:r>
      <w:r w:rsidRPr="0022526E">
        <w:rPr>
          <w:rFonts w:asciiTheme="minorEastAsia" w:hAnsiTheme="minorEastAsia"/>
          <w:sz w:val="20"/>
          <w:szCs w:val="20"/>
        </w:rPr>
        <w:t>H26.8.29</w:t>
      </w:r>
      <w:r w:rsidRPr="0022526E">
        <w:rPr>
          <w:rFonts w:asciiTheme="minorEastAsia" w:hAnsiTheme="minorEastAsia" w:hint="eastAsia"/>
          <w:sz w:val="20"/>
          <w:szCs w:val="20"/>
        </w:rPr>
        <w:t xml:space="preserve">　総務省</w:t>
      </w:r>
      <w:r w:rsidRPr="0022526E">
        <w:rPr>
          <w:rFonts w:asciiTheme="minorEastAsia" w:hAnsiTheme="minorEastAsia"/>
          <w:sz w:val="20"/>
          <w:szCs w:val="20"/>
        </w:rPr>
        <w:t>HP</w:t>
      </w:r>
    </w:p>
    <w:p w:rsidR="00176505" w:rsidRPr="008C7600" w:rsidRDefault="00176505" w:rsidP="008C7600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22526E" w:rsidRPr="0022526E" w:rsidRDefault="0022526E" w:rsidP="0022526E">
      <w:pPr>
        <w:ind w:firstLineChars="50" w:firstLine="105"/>
        <w:jc w:val="center"/>
        <w:rPr>
          <w:rFonts w:asciiTheme="minorEastAsia" w:hAnsiTheme="minorEastAsia"/>
        </w:rPr>
      </w:pPr>
      <w:r w:rsidRPr="0022526E">
        <w:rPr>
          <w:rFonts w:asciiTheme="minorEastAsia" w:hAnsiTheme="minorEastAsia" w:hint="eastAsia"/>
        </w:rPr>
        <w:t xml:space="preserve">図1. </w:t>
      </w:r>
      <w:r w:rsidRPr="0022526E">
        <w:rPr>
          <w:rFonts w:asciiTheme="minorEastAsia" w:hAnsiTheme="minorEastAsia" w:hint="eastAsia"/>
          <w:noProof/>
        </w:rPr>
        <w:t>公営企業会計の導入に向けたロードマップ</w:t>
      </w:r>
    </w:p>
    <w:p w:rsidR="0022526E" w:rsidRDefault="0022526E" w:rsidP="00D87AF8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962DFC" w:rsidRPr="00D87AF8" w:rsidRDefault="00962DFC" w:rsidP="00D87AF8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87AF8">
        <w:rPr>
          <w:rFonts w:ascii="HG丸ｺﾞｼｯｸM-PRO" w:eastAsia="HG丸ｺﾞｼｯｸM-PRO" w:hAnsi="HG丸ｺﾞｼｯｸM-PRO" w:hint="eastAsia"/>
        </w:rPr>
        <w:t>(2)法適化のメリット</w:t>
      </w:r>
    </w:p>
    <w:p w:rsidR="00084495" w:rsidRPr="009E1C8B" w:rsidRDefault="009E1C8B" w:rsidP="009E1C8B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法適化</w:t>
      </w:r>
      <w:r w:rsidR="00943F44">
        <w:rPr>
          <w:rFonts w:asciiTheme="minorEastAsia" w:hAnsiTheme="minorEastAsia" w:hint="eastAsia"/>
        </w:rPr>
        <w:t>におけるメリット</w:t>
      </w:r>
      <w:r w:rsidR="007F5F0D">
        <w:rPr>
          <w:rFonts w:asciiTheme="minorEastAsia" w:hAnsiTheme="minorEastAsia" w:hint="eastAsia"/>
        </w:rPr>
        <w:t>を</w:t>
      </w:r>
      <w:r w:rsidR="008C7600">
        <w:rPr>
          <w:rFonts w:asciiTheme="minorEastAsia" w:hAnsiTheme="minorEastAsia" w:hint="eastAsia"/>
        </w:rPr>
        <w:t>表1に示す。</w:t>
      </w:r>
    </w:p>
    <w:p w:rsidR="00084495" w:rsidRPr="008C7600" w:rsidRDefault="00084495" w:rsidP="008C7600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C8670C" w:rsidRPr="008C7600" w:rsidRDefault="008C7600" w:rsidP="008C7600">
      <w:pPr>
        <w:ind w:firstLineChars="500" w:firstLine="1050"/>
        <w:rPr>
          <w:rFonts w:asciiTheme="minorEastAsia" w:hAnsiTheme="minorEastAsia"/>
        </w:rPr>
      </w:pPr>
      <w:r w:rsidRPr="008C7600">
        <w:rPr>
          <w:rFonts w:asciiTheme="minorEastAsia" w:hAnsiTheme="minorEastAsia" w:hint="eastAsia"/>
        </w:rPr>
        <w:t>表1. 法適化のメリット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C8670C" w:rsidRPr="008C7600" w:rsidTr="008C7600">
        <w:trPr>
          <w:jc w:val="center"/>
        </w:trPr>
        <w:tc>
          <w:tcPr>
            <w:tcW w:w="3600" w:type="dxa"/>
          </w:tcPr>
          <w:p w:rsidR="00C8670C" w:rsidRPr="008C7600" w:rsidRDefault="00C8670C">
            <w:pPr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①経営成績や財政状態の明確化</w:t>
            </w:r>
          </w:p>
        </w:tc>
        <w:tc>
          <w:tcPr>
            <w:tcW w:w="3600" w:type="dxa"/>
          </w:tcPr>
          <w:p w:rsidR="00C8670C" w:rsidRPr="008C7600" w:rsidRDefault="00C8670C">
            <w:pPr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②弾力的な企業経営</w:t>
            </w:r>
          </w:p>
        </w:tc>
      </w:tr>
      <w:tr w:rsidR="00C8670C" w:rsidRPr="008C7600" w:rsidTr="008C7600">
        <w:trPr>
          <w:jc w:val="center"/>
        </w:trPr>
        <w:tc>
          <w:tcPr>
            <w:tcW w:w="3600" w:type="dxa"/>
          </w:tcPr>
          <w:p w:rsidR="00C8670C" w:rsidRPr="008C7600" w:rsidRDefault="00C8670C" w:rsidP="008C7600">
            <w:pPr>
              <w:ind w:firstLineChars="100" w:firstLine="210"/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◆期間損益の適正な把握</w:t>
            </w:r>
          </w:p>
        </w:tc>
        <w:tc>
          <w:tcPr>
            <w:tcW w:w="3600" w:type="dxa"/>
          </w:tcPr>
          <w:p w:rsidR="00C8670C" w:rsidRPr="008C7600" w:rsidRDefault="00C8670C" w:rsidP="008C7600">
            <w:pPr>
              <w:ind w:firstLineChars="100" w:firstLine="210"/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◆経営分析</w:t>
            </w:r>
            <w:r w:rsidR="008C7600" w:rsidRPr="008C7600">
              <w:rPr>
                <w:rFonts w:asciiTheme="minorEastAsia" w:hAnsiTheme="minorEastAsia" w:hint="eastAsia"/>
              </w:rPr>
              <w:t>が容易</w:t>
            </w:r>
          </w:p>
        </w:tc>
      </w:tr>
      <w:tr w:rsidR="00C8670C" w:rsidRPr="008C7600" w:rsidTr="008C7600">
        <w:trPr>
          <w:jc w:val="center"/>
        </w:trPr>
        <w:tc>
          <w:tcPr>
            <w:tcW w:w="3600" w:type="dxa"/>
          </w:tcPr>
          <w:p w:rsidR="00C8670C" w:rsidRPr="008C7600" w:rsidRDefault="00C8670C" w:rsidP="008C7600">
            <w:pPr>
              <w:ind w:firstLineChars="100" w:firstLine="210"/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◆使用料対象原価の明確化</w:t>
            </w:r>
          </w:p>
        </w:tc>
        <w:tc>
          <w:tcPr>
            <w:tcW w:w="3600" w:type="dxa"/>
          </w:tcPr>
          <w:p w:rsidR="00C8670C" w:rsidRPr="008C7600" w:rsidRDefault="00C8670C" w:rsidP="008C7600">
            <w:pPr>
              <w:ind w:firstLineChars="100" w:firstLine="210"/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◆職員の経営意識の向上</w:t>
            </w:r>
          </w:p>
        </w:tc>
      </w:tr>
      <w:tr w:rsidR="00C8670C" w:rsidRPr="008C7600" w:rsidTr="008C7600">
        <w:trPr>
          <w:jc w:val="center"/>
        </w:trPr>
        <w:tc>
          <w:tcPr>
            <w:tcW w:w="3600" w:type="dxa"/>
          </w:tcPr>
          <w:p w:rsidR="00C8670C" w:rsidRPr="008C7600" w:rsidRDefault="00C8670C" w:rsidP="008C7600">
            <w:pPr>
              <w:ind w:firstLineChars="100" w:firstLine="210"/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>◆適切な情報の開示</w:t>
            </w:r>
          </w:p>
        </w:tc>
        <w:tc>
          <w:tcPr>
            <w:tcW w:w="3600" w:type="dxa"/>
          </w:tcPr>
          <w:p w:rsidR="00C8670C" w:rsidRPr="008C7600" w:rsidRDefault="008C7600">
            <w:pPr>
              <w:rPr>
                <w:rFonts w:asciiTheme="minorEastAsia" w:hAnsiTheme="minorEastAsia"/>
              </w:rPr>
            </w:pPr>
            <w:r w:rsidRPr="008C7600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8C7600" w:rsidRPr="00D87AF8" w:rsidRDefault="008C7600" w:rsidP="008C76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2. </w:t>
      </w:r>
      <w:r w:rsidRPr="00D87AF8">
        <w:rPr>
          <w:rFonts w:ascii="HG丸ｺﾞｼｯｸM-PRO" w:eastAsia="HG丸ｺﾞｼｯｸM-PRO" w:hAnsi="HG丸ｺﾞｼｯｸM-PRO" w:hint="eastAsia"/>
        </w:rPr>
        <w:t>固定資産調査・評価</w:t>
      </w:r>
    </w:p>
    <w:p w:rsidR="001A43FD" w:rsidRDefault="001A43FD" w:rsidP="001A43FD">
      <w:pPr>
        <w:ind w:firstLineChars="100" w:firstLine="210"/>
        <w:rPr>
          <w:rFonts w:asciiTheme="minorEastAsia" w:hAnsiTheme="minorEastAsia"/>
        </w:rPr>
      </w:pPr>
      <w:r w:rsidRPr="001A43FD">
        <w:rPr>
          <w:rFonts w:asciiTheme="minorEastAsia" w:hAnsiTheme="minorEastAsia" w:hint="eastAsia"/>
        </w:rPr>
        <w:t>法適化する</w:t>
      </w:r>
      <w:r>
        <w:rPr>
          <w:rFonts w:asciiTheme="minorEastAsia" w:hAnsiTheme="minorEastAsia" w:hint="eastAsia"/>
        </w:rPr>
        <w:t>地方公営企業は、資産を一定の基準に沿って整理し、その価値を明確にしなければならない</w:t>
      </w:r>
      <w:r w:rsidR="00A34D97" w:rsidRPr="00A34D97">
        <w:rPr>
          <w:rFonts w:asciiTheme="minorEastAsia" w:hAnsiTheme="minorEastAsia" w:hint="eastAsia"/>
          <w:vertAlign w:val="superscript"/>
        </w:rPr>
        <w:t>※</w:t>
      </w:r>
      <w:r>
        <w:rPr>
          <w:rFonts w:asciiTheme="minorEastAsia" w:hAnsiTheme="minorEastAsia" w:hint="eastAsia"/>
        </w:rPr>
        <w:t>ため、資産調査・評価を実施する。</w:t>
      </w:r>
      <w:r w:rsidR="005B5DBB">
        <w:rPr>
          <w:rFonts w:asciiTheme="minorEastAsia" w:hAnsiTheme="minorEastAsia" w:hint="eastAsia"/>
        </w:rPr>
        <w:t>（</w:t>
      </w:r>
      <w:r w:rsidR="00A34D97">
        <w:rPr>
          <w:rFonts w:asciiTheme="minorEastAsia" w:hAnsiTheme="minorEastAsia" w:hint="eastAsia"/>
        </w:rPr>
        <w:t>※</w:t>
      </w:r>
      <w:r w:rsidR="005B5DBB">
        <w:rPr>
          <w:rFonts w:asciiTheme="minorEastAsia" w:hAnsiTheme="minorEastAsia" w:hint="eastAsia"/>
        </w:rPr>
        <w:t>地方公営企業法第20条第2項</w:t>
      </w:r>
      <w:r w:rsidR="00A34D97">
        <w:rPr>
          <w:rFonts w:asciiTheme="minorEastAsia" w:hAnsiTheme="minorEastAsia" w:hint="eastAsia"/>
        </w:rPr>
        <w:t>より</w:t>
      </w:r>
      <w:r w:rsidR="005B5DBB">
        <w:rPr>
          <w:rFonts w:asciiTheme="minorEastAsia" w:hAnsiTheme="minorEastAsia" w:hint="eastAsia"/>
        </w:rPr>
        <w:t>）</w:t>
      </w:r>
    </w:p>
    <w:p w:rsidR="007F5F0D" w:rsidRPr="001A43FD" w:rsidRDefault="007F5F0D" w:rsidP="005B5DBB">
      <w:pPr>
        <w:rPr>
          <w:rFonts w:asciiTheme="minorEastAsia" w:hAnsiTheme="minorEastAsia"/>
        </w:rPr>
      </w:pPr>
    </w:p>
    <w:p w:rsidR="007F5F0D" w:rsidRDefault="00DF7126" w:rsidP="00DF7126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(1)資産調査対象</w:t>
      </w:r>
    </w:p>
    <w:p w:rsidR="00DF7126" w:rsidRPr="00DF7126" w:rsidRDefault="00DF7126" w:rsidP="00DF7126">
      <w:pPr>
        <w:ind w:leftChars="67" w:left="141" w:firstLineChars="100" w:firstLine="210"/>
        <w:rPr>
          <w:rFonts w:asciiTheme="minorEastAsia" w:hAnsiTheme="minorEastAsia"/>
        </w:rPr>
      </w:pPr>
      <w:r w:rsidRPr="00DF7126">
        <w:rPr>
          <w:rFonts w:asciiTheme="minorEastAsia" w:hAnsiTheme="minorEastAsia" w:hint="eastAsia"/>
        </w:rPr>
        <w:t>資産は、大きく「固定資産」、「流動資産」及び「繰延資産」の</w:t>
      </w:r>
      <w:r w:rsidRPr="00DF7126">
        <w:rPr>
          <w:rFonts w:asciiTheme="minorEastAsia" w:hAnsiTheme="minorEastAsia"/>
        </w:rPr>
        <w:t>3</w:t>
      </w:r>
      <w:r w:rsidRPr="00DF7126">
        <w:rPr>
          <w:rFonts w:asciiTheme="minorEastAsia" w:hAnsiTheme="minorEastAsia" w:hint="eastAsia"/>
        </w:rPr>
        <w:t>つに分類される。</w:t>
      </w:r>
    </w:p>
    <w:p w:rsidR="00DF7126" w:rsidRDefault="00DF7126" w:rsidP="00DF7126">
      <w:pPr>
        <w:ind w:leftChars="67" w:left="141" w:firstLineChars="100" w:firstLine="210"/>
        <w:rPr>
          <w:rFonts w:asciiTheme="minorEastAsia" w:hAnsiTheme="minorEastAsia"/>
        </w:rPr>
      </w:pPr>
      <w:r w:rsidRPr="00DF7126">
        <w:rPr>
          <w:rFonts w:asciiTheme="minorEastAsia" w:hAnsiTheme="minorEastAsia" w:hint="eastAsia"/>
        </w:rPr>
        <w:t>「固定資産」と「流動資産」の区分は、１年という期間を設定して、その期間内に換金できる資産を「流動資産」、そうでない資産を「固定資産」として</w:t>
      </w:r>
      <w:r>
        <w:rPr>
          <w:rFonts w:asciiTheme="minorEastAsia" w:hAnsiTheme="minorEastAsia" w:hint="eastAsia"/>
        </w:rPr>
        <w:t>いる。</w:t>
      </w:r>
    </w:p>
    <w:p w:rsidR="00DF7126" w:rsidRPr="00DF7126" w:rsidRDefault="00DF7126" w:rsidP="00DF7126">
      <w:pPr>
        <w:ind w:leftChars="67" w:left="141" w:firstLineChars="100" w:firstLine="210"/>
        <w:rPr>
          <w:rFonts w:asciiTheme="minorEastAsia" w:hAnsiTheme="minorEastAsia"/>
        </w:rPr>
      </w:pPr>
      <w:r w:rsidRPr="00DF7126">
        <w:rPr>
          <w:rFonts w:asciiTheme="minorEastAsia" w:hAnsiTheme="minorEastAsia" w:hint="eastAsia"/>
        </w:rPr>
        <w:t>下水道事業の</w:t>
      </w:r>
      <w:r>
        <w:rPr>
          <w:rFonts w:asciiTheme="minorEastAsia" w:hAnsiTheme="minorEastAsia" w:hint="eastAsia"/>
        </w:rPr>
        <w:t>法適化で</w:t>
      </w:r>
      <w:r w:rsidRPr="00DF7126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「固定資産」の調査を実施する。（</w:t>
      </w:r>
      <w:r w:rsidR="00F34C94">
        <w:rPr>
          <w:rFonts w:asciiTheme="minorEastAsia" w:hAnsiTheme="minorEastAsia" w:hint="eastAsia"/>
        </w:rPr>
        <w:t>参照：</w:t>
      </w:r>
      <w:r>
        <w:rPr>
          <w:rFonts w:asciiTheme="minorEastAsia" w:hAnsiTheme="minorEastAsia" w:hint="eastAsia"/>
        </w:rPr>
        <w:t>図2. 資産の分類）</w:t>
      </w:r>
    </w:p>
    <w:p w:rsidR="00DF7126" w:rsidRPr="00DF7126" w:rsidRDefault="00DF7126" w:rsidP="00EE3CD5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7F5F0D" w:rsidRPr="00DF7126" w:rsidRDefault="00B41847" w:rsidP="00DF7126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E168C2" wp14:editId="537CB2BE">
                <wp:simplePos x="0" y="0"/>
                <wp:positionH relativeFrom="column">
                  <wp:posOffset>-81280</wp:posOffset>
                </wp:positionH>
                <wp:positionV relativeFrom="paragraph">
                  <wp:posOffset>86995</wp:posOffset>
                </wp:positionV>
                <wp:extent cx="5742940" cy="3715385"/>
                <wp:effectExtent l="0" t="0" r="10160" b="1841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715385"/>
                          <a:chOff x="1486" y="2417"/>
                          <a:chExt cx="10034" cy="607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417"/>
                            <a:ext cx="18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79646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126" w:rsidRPr="005D44E8" w:rsidRDefault="00DF7126" w:rsidP="00A36A65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D44E8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資産調査対象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86" y="2417"/>
                            <a:ext cx="10034" cy="6074"/>
                            <a:chOff x="1486" y="2417"/>
                            <a:chExt cx="10034" cy="6074"/>
                          </a:xfrm>
                        </wpg:grpSpPr>
                        <wps:wsp>
                          <wps:cNvPr id="5" name="テキスト ボックス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2826"/>
                              <a:ext cx="2369" cy="591"/>
                            </a:xfrm>
                            <a:prstGeom prst="flowChartAlternate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17501">
                                  <a:srgbClr val="BFD5FF"/>
                                </a:gs>
                                <a:gs pos="50000">
                                  <a:srgbClr val="E5EEFF"/>
                                </a:gs>
                                <a:gs pos="82500">
                                  <a:srgbClr val="BFD5FF"/>
                                </a:gs>
                                <a:gs pos="100000">
                                  <a:srgbClr val="A3C4FF"/>
                                </a:gs>
                              </a:gsLst>
                              <a:lin ang="5400000" scaled="1"/>
                            </a:gra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8398" dir="3806097" algn="ctr" rotWithShape="0">
                                      <a:srgbClr val="243F6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7126" w:rsidRPr="005D44E8" w:rsidRDefault="00DF7126" w:rsidP="00A36A6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D44E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有形固定資産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86" y="2417"/>
                              <a:ext cx="10034" cy="6074"/>
                              <a:chOff x="1486" y="2417"/>
                              <a:chExt cx="10034" cy="6074"/>
                            </a:xfrm>
                          </wpg:grpSpPr>
                          <wps:wsp>
                            <wps:cNvPr id="7" name="直線コネクタ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62" y="3097"/>
                                <a:ext cx="5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直線コネクタ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45" y="5923"/>
                                <a:ext cx="33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9" y="2417"/>
                                <a:ext cx="8621" cy="3675"/>
                              </a:xfrm>
                              <a:prstGeom prst="rect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FABF8F"/>
                                        </a:gs>
                                        <a:gs pos="50000">
                                          <a:srgbClr val="F79646"/>
                                        </a:gs>
                                        <a:gs pos="100000">
                                          <a:srgbClr val="FABF8F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97470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テキスト ボックス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5661"/>
                                <a:ext cx="125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資産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4130"/>
                                <a:ext cx="1695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17501">
                                    <a:srgbClr val="BFD5FF"/>
                                  </a:gs>
                                  <a:gs pos="50000">
                                    <a:srgbClr val="E5EEFF"/>
                                  </a:gs>
                                  <a:gs pos="82500">
                                    <a:srgbClr val="BFD5FF"/>
                                  </a:gs>
                                  <a:gs pos="100000">
                                    <a:srgbClr val="A3C4FF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固定資産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7" y="7030"/>
                                <a:ext cx="1695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流動資産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5269"/>
                                <a:ext cx="236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17501">
                                    <a:srgbClr val="BFD5FF"/>
                                  </a:gs>
                                  <a:gs pos="50000">
                                    <a:srgbClr val="E5EEFF"/>
                                  </a:gs>
                                  <a:gs pos="82500">
                                    <a:srgbClr val="BFD5FF"/>
                                  </a:gs>
                                  <a:gs pos="100000">
                                    <a:srgbClr val="A3C4FF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投資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4130"/>
                                <a:ext cx="236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17501">
                                    <a:srgbClr val="BFD5FF"/>
                                  </a:gs>
                                  <a:gs pos="50000">
                                    <a:srgbClr val="E5EEFF"/>
                                  </a:gs>
                                  <a:gs pos="82500">
                                    <a:srgbClr val="BFD5FF"/>
                                  </a:gs>
                                  <a:gs pos="100000">
                                    <a:srgbClr val="A3C4FF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無形固定資産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8" y="3104"/>
                                <a:ext cx="537" cy="2440"/>
                                <a:chOff x="6753" y="4699"/>
                                <a:chExt cx="996" cy="1144"/>
                              </a:xfrm>
                            </wpg:grpSpPr>
                            <wps:wsp>
                              <wps:cNvPr id="16" name="フリーフォーム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7" y="4699"/>
                                  <a:ext cx="462" cy="1144"/>
                                </a:xfrm>
                                <a:custGeom>
                                  <a:avLst/>
                                  <a:gdLst>
                                    <a:gd name="T0" fmla="*/ 725169 w 411061"/>
                                    <a:gd name="T1" fmla="*/ 3168015 h 1350628"/>
                                    <a:gd name="T2" fmla="*/ 0 w 411061"/>
                                    <a:gd name="T3" fmla="*/ 3168015 h 1350628"/>
                                    <a:gd name="T4" fmla="*/ 0 w 411061"/>
                                    <a:gd name="T5" fmla="*/ 0 h 1350628"/>
                                    <a:gd name="T6" fmla="*/ 740277 w 411061"/>
                                    <a:gd name="T7" fmla="*/ 0 h 135062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11061" h="1350628">
                                      <a:moveTo>
                                        <a:pt x="402672" y="1350628"/>
                                      </a:moveTo>
                                      <a:lnTo>
                                        <a:pt x="0" y="13506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110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直線コネクタ 117"/>
                              <wps:cNvCnPr>
                                <a:cxnSpLocks noChangeShapeType="1"/>
                                <a:stCxn id="11" idx="3"/>
                                <a:endCxn id="14" idx="1"/>
                              </wps:cNvCnPr>
                              <wps:spPr bwMode="auto">
                                <a:xfrm>
                                  <a:off x="6753" y="5323"/>
                                  <a:ext cx="9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7900"/>
                                <a:ext cx="236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その他の流動資産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3" y="7074"/>
                                <a:ext cx="236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たな卸資産</w:t>
                                  </w:r>
                                </w:p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テキスト ボックス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6252"/>
                                <a:ext cx="2369" cy="59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44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当座資産</w:t>
                                  </w:r>
                                </w:p>
                                <w:p w:rsidR="00DF7126" w:rsidRPr="005D44E8" w:rsidRDefault="00DF7126" w:rsidP="00A36A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8" y="6514"/>
                                <a:ext cx="537" cy="1667"/>
                                <a:chOff x="6753" y="3137"/>
                                <a:chExt cx="996" cy="1667"/>
                              </a:xfrm>
                            </wpg:grpSpPr>
                            <wps:wsp>
                              <wps:cNvPr id="22" name="フリーフォーム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7" y="3137"/>
                                  <a:ext cx="462" cy="1667"/>
                                </a:xfrm>
                                <a:custGeom>
                                  <a:avLst/>
                                  <a:gdLst>
                                    <a:gd name="T0" fmla="*/ 725169 w 411061"/>
                                    <a:gd name="T1" fmla="*/ 3168015 h 1350628"/>
                                    <a:gd name="T2" fmla="*/ 0 w 411061"/>
                                    <a:gd name="T3" fmla="*/ 3168015 h 1350628"/>
                                    <a:gd name="T4" fmla="*/ 0 w 411061"/>
                                    <a:gd name="T5" fmla="*/ 0 h 1350628"/>
                                    <a:gd name="T6" fmla="*/ 740277 w 411061"/>
                                    <a:gd name="T7" fmla="*/ 0 h 135062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11061" h="1350628">
                                      <a:moveTo>
                                        <a:pt x="402672" y="1350628"/>
                                      </a:moveTo>
                                      <a:lnTo>
                                        <a:pt x="0" y="13506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110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直線コネクタ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3" y="3959"/>
                                  <a:ext cx="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9" y="2558"/>
                                <a:ext cx="2890" cy="1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DF7126" w:rsidRDefault="00B41847" w:rsidP="00DF712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土地、</w:t>
                                  </w:r>
                                  <w:r w:rsidR="00DF7126"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建物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及び付属設備</w:t>
                                  </w:r>
                                  <w:r w:rsidR="00DF7126"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、構築物、機械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="00DF7126"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装置、車両運搬具、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工具・器具及び備品</w:t>
                                  </w:r>
                                  <w:r w:rsidR="00DF7126"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、リース資産、建物仮勘定</w:t>
                                  </w:r>
                                  <w:r w:rsidR="00EE3C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4" y="3986"/>
                                <a:ext cx="2895" cy="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DF7126" w:rsidRDefault="00B41847" w:rsidP="00DF712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水利権、特許権、営業権、借地権（地上権）、ソフトウェア</w:t>
                                  </w:r>
                                  <w:r w:rsidR="00DF7126"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3" y="5207"/>
                                <a:ext cx="2896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126" w:rsidRPr="00DF7126" w:rsidRDefault="00DF7126" w:rsidP="00DF712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出資金、長期貸付金、</w:t>
                                  </w:r>
                                </w:p>
                                <w:p w:rsidR="00DF7126" w:rsidRPr="00DF7126" w:rsidRDefault="00DF7126" w:rsidP="00DF712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7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基金など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直線コネクタ 117"/>
                            <wps:cNvCnPr>
                              <a:cxnSpLocks noChangeShapeType="1"/>
                              <a:stCxn id="14" idx="3"/>
                              <a:endCxn id="25" idx="1"/>
                            </wps:cNvCnPr>
                            <wps:spPr bwMode="auto">
                              <a:xfrm>
                                <a:off x="7964" y="4426"/>
                                <a:ext cx="530" cy="8"/>
                              </a:xfrm>
                              <a:prstGeom prst="lin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直線コネクタ 117"/>
                            <wps:cNvCnPr>
                              <a:cxnSpLocks noChangeShapeType="1"/>
                              <a:stCxn id="13" idx="3"/>
                              <a:endCxn id="26" idx="1"/>
                            </wps:cNvCnPr>
                            <wps:spPr bwMode="auto">
                              <a:xfrm flipV="1">
                                <a:off x="7964" y="5557"/>
                                <a:ext cx="529" cy="7"/>
                              </a:xfrm>
                              <a:prstGeom prst="lin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フリーフォーム 5"/>
                            <wps:cNvSpPr>
                              <a:spLocks/>
                            </wps:cNvSpPr>
                            <wps:spPr bwMode="auto">
                              <a:xfrm>
                                <a:off x="3076" y="4426"/>
                                <a:ext cx="287" cy="2910"/>
                              </a:xfrm>
                              <a:custGeom>
                                <a:avLst/>
                                <a:gdLst>
                                  <a:gd name="T0" fmla="*/ 725169 w 411061"/>
                                  <a:gd name="T1" fmla="*/ 3168015 h 1350628"/>
                                  <a:gd name="T2" fmla="*/ 0 w 411061"/>
                                  <a:gd name="T3" fmla="*/ 3168015 h 1350628"/>
                                  <a:gd name="T4" fmla="*/ 0 w 411061"/>
                                  <a:gd name="T5" fmla="*/ 0 h 1350628"/>
                                  <a:gd name="T6" fmla="*/ 740277 w 411061"/>
                                  <a:gd name="T7" fmla="*/ 0 h 135062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11061" h="1350628">
                                    <a:moveTo>
                                      <a:pt x="402672" y="1350628"/>
                                    </a:moveTo>
                                    <a:lnTo>
                                      <a:pt x="0" y="1350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11061" y="0"/>
                                    </a:ln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6.4pt;margin-top:6.85pt;width:452.2pt;height:292.55pt;z-index:251658240" coordorigin="1486,2417" coordsize="10034,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76;top:2417;width:18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7CMQA&#10;AADaAAAADwAAAGRycy9kb3ducmV2LnhtbESP3WrCQBSE7wu+w3KE3ojZtAWRmFVEUKS00voDXh6y&#10;x2QxezbNrpq+fVcQejnMzDdMPutsLa7UeuNYwUuSgiAunDZcKtjvlsMxCB+QNdaOScEveZhNe085&#10;Ztrd+Juu21CKCGGfoYIqhCaT0hcVWfSJa4ijd3KtxRBlW0rd4i3CbS1f03QkLRqOCxU2tKioOG8v&#10;VoG+pKvNh/s57t557435+twMDlqp5343n4AI1IX/8KO91gre4H4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OwjEAAAA2gAAAA8AAAAAAAAAAAAAAAAAmAIAAGRycy9k&#10;b3ducmV2LnhtbFBLBQYAAAAABAAEAPUAAACJAwAAAAA=&#10;" filled="f" fillcolor="#fabf8f" stroked="f" strokeweight="1pt">
                  <v:fill color2="#f79646" rotate="t" focus="50%" type="gradient"/>
                  <v:textbox>
                    <w:txbxContent>
                      <w:p w:rsidR="00DF7126" w:rsidRPr="005D44E8" w:rsidRDefault="00DF7126" w:rsidP="00A36A65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D44E8"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資産調査対象</w:t>
                        </w:r>
                      </w:p>
                    </w:txbxContent>
                  </v:textbox>
                </v:shape>
                <v:group id="Group 4" o:spid="_x0000_s1028" style="position:absolute;left:1486;top:2417;width:10034;height:6074" coordorigin="1486,2417" coordsize="10034,6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テキスト ボックス 121" o:spid="_x0000_s1029" type="#_x0000_t176" style="position:absolute;left:5595;top:2826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orMIA&#10;AADaAAAADwAAAGRycy9kb3ducmV2LnhtbESPT2vCQBTE70K/w/IKvUjdRFBKdBUpjehJTAteH9ln&#10;Esy+DdnNH799VxA8DjPzG2a9HU0tempdZVlBPItAEOdWV1wo+PtNP79AOI+ssbZMCu7kYLt5m6wx&#10;0XbgM/WZL0SAsEtQQel9k0jp8pIMupltiIN3ta1BH2RbSN3iEOCmlvMoWkqDFYeFEhv6Lim/ZZ1R&#10;cHKZuV+6Y2riAtMfN73Iw56V+ngfdysQnkb/Cj/bB61gAY8r4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2iswgAAANoAAAAPAAAAAAAAAAAAAAAAAJgCAABkcnMvZG93&#10;bnJldi54bWxQSwUGAAAAAAQABAD1AAAAhwMAAAAA&#10;" fillcolor="#a3c4ff" strokeweight="1pt">
                    <v:fill color2="#a3c4ff" rotate="t" colors="0 #a3c4ff;11469f #bfd5ff;.5 #e5eeff;54067f #bfd5ff;1 #a3c4ff" focus="100%" type="gradient"/>
                    <v:shadow color="#243f60" offset="1pt"/>
                    <v:textbox>
                      <w:txbxContent>
                        <w:p w:rsidR="00DF7126" w:rsidRPr="005D44E8" w:rsidRDefault="00DF7126" w:rsidP="00A36A6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  <w:szCs w:val="20"/>
                            </w:rPr>
                          </w:pPr>
                          <w:r w:rsidRPr="005D44E8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有形固定資産</w:t>
                          </w:r>
                        </w:p>
                      </w:txbxContent>
                    </v:textbox>
                  </v:shape>
                  <v:group id="Group 6" o:spid="_x0000_s1030" style="position:absolute;left:1486;top:2417;width:10034;height:6074" coordorigin="1486,2417" coordsize="10034,6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直線コネクタ 117" o:spid="_x0000_s1031" style="position:absolute;visibility:visible;mso-wrap-style:square" from="7962,3097" to="8497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<v:line id="直線コネクタ 124" o:spid="_x0000_s1032" style="position:absolute;visibility:visible;mso-wrap-style:square" from="2745,5923" to="3076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<v:rect id="Rectangle 9" o:spid="_x0000_s1033" style="position:absolute;left:2899;top:2417;width:8621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pscQA&#10;AADaAAAADwAAAGRycy9kb3ducmV2LnhtbESPT2sCMRTE7wW/Q3iCt5pVoa2rUUQUllJK/XPw+Ng8&#10;dxc3L2sSNf32TaHQ4zAzv2Hmy2hacSfnG8sKRsMMBHFpdcOVguNh+/wGwgdkja1lUvBNHpaL3tMc&#10;c20fvKP7PlQiQdjnqKAOocul9GVNBv3QdsTJO1tnMCTpKqkdPhLctHKcZS/SYMNpocaO1jWVl/3N&#10;KPjYudPnKdriGIvr+9fkfClftxulBv24moEIFMN/+K9daAVT+L2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abHEAAAA2gAAAA8AAAAAAAAAAAAAAAAAmAIAAGRycy9k&#10;b3ducmV2LnhtbFBLBQYAAAAABAAEAPUAAACJAwAAAAA=&#10;" filled="f" fillcolor="#fabf8f" strokecolor="red" strokeweight="1.5pt">
                      <v:fill color2="#f79646" rotate="t" focus="50%" type="gradient"/>
                      <v:stroke dashstyle="dash"/>
                      <v:shadow color="#974706" offset="1pt"/>
                    </v:rect>
                    <v:shape id="テキスト ボックス 135" o:spid="_x0000_s1034" type="#_x0000_t176" style="position:absolute;left:1486;top:5661;width:125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a6cIA&#10;AADbAAAADwAAAGRycy9kb3ducmV2LnhtbESPQWvDMAyF74X9B6PBbo2TDrqQ1S3bwmivSwq9ilhL&#10;wmI5xG6T/fvqMNhN4j2992l3WNygbjSF3rOBLElBETfe9twaONef6xxUiMgWB89k4JcCHPYPqx0W&#10;1s/8RbcqtkpCOBRooItxLLQOTUcOQ+JHYtG+/eQwyjq12k44S7gb9CZNt9phz9LQ4UgfHTU/1dUZ&#10;0Nlz7stj9m4vOh/q8rop2xdnzNPj8vYKKtIS/81/1ycr+EIvv8gAe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hrpwgAAANsAAAAPAAAAAAAAAAAAAAAAAJgCAABkcnMvZG93&#10;bnJldi54bWxQSwUGAAAAAAQABAD1AAAAhwMAAAAA&#10;" fillcolor="#d99594" strokeweight="1pt">
                      <v:fill color2="#f2dbdb" rotate="t" angle="135" focus="50%" type="gradient"/>
                      <v:shadow color="#622423" opacity=".5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資産</w:t>
                            </w:r>
                          </w:p>
                        </w:txbxContent>
                      </v:textbox>
                    </v:shape>
                    <v:shape id="テキスト ボックス 121" o:spid="_x0000_s1035" type="#_x0000_t176" style="position:absolute;left:3363;top:4130;width:169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MpL4A&#10;AADbAAAADwAAAGRycy9kb3ducmV2LnhtbERPTYvCMBC9C/6HMIIX0bQelqUaRcSKnpatQq9DM7bF&#10;ZlKaqPXfG0HwNo/3Oct1bxpxp87VlhXEswgEcWF1zaWC8ymd/oJwHlljY5kUPMnBejUcLDHR9sH/&#10;dM98KUIIuwQVVN63iZSuqMigm9mWOHAX2xn0AXal1B0+Qrhp5DyKfqTBmkNDhS1tKyqu2c0o+HOZ&#10;eea3Y2riEtOdm+TysGelxqN+swDhqfdf8cd90GF+DO9fw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IjKS+AAAA2wAAAA8AAAAAAAAAAAAAAAAAmAIAAGRycy9kb3ducmV2&#10;LnhtbFBLBQYAAAAABAAEAPUAAACDAwAAAAA=&#10;" fillcolor="#a3c4ff" strokeweight="1pt">
                      <v:fill color2="#a3c4ff" rotate="t" colors="0 #a3c4ff;11469f #bfd5ff;.5 #e5eeff;54067f #bfd5ff;1 #a3c4ff" focus="100%" type="gradient"/>
                      <v:shadow color="#243f60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固定資産</w:t>
                            </w:r>
                          </w:p>
                        </w:txbxContent>
                      </v:textbox>
                    </v:shape>
                    <v:shape id="テキスト ボックス 121" o:spid="_x0000_s1036" type="#_x0000_t176" style="position:absolute;left:3367;top:7030;width:169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P1MIA&#10;AADbAAAADwAAAGRycy9kb3ducmV2LnhtbERPTWvCQBC9F/oflil4azYqrSF1FREED0JRC+1xyI5J&#10;NDsbsqvZ+OvdQqG3ebzPmS+DacSNOldbVjBOUhDEhdU1lwq+jpvXDITzyBoby6RgIAfLxfPTHHNt&#10;e97T7eBLEUPY5aig8r7NpXRFRQZdYlviyJ1sZ9BH2JVSd9jHcNPISZq+S4M1x4YKW1pXVFwOV6Pg&#10;/PkdQjZ7G656eq9nzS6YHxuUGr2E1QcIT8H/i//cWx3nT+D3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U/UwgAAANsAAAAPAAAAAAAAAAAAAAAAAJgCAABkcnMvZG93&#10;bnJldi54bWxQSwUGAAAAAAQABAD1AAAAhwMAAAAA&#10;" fillcolor="#fabf8f" strokeweight="1pt">
                      <v:fill color2="#fde9d9" rotate="t" angle="135" focus="50%" type="gradient"/>
                      <v:shadow color="#974706" opacity=".5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流動資産</w:t>
                            </w:r>
                          </w:p>
                        </w:txbxContent>
                      </v:textbox>
                    </v:shape>
                    <v:shape id="テキスト ボックス 121" o:spid="_x0000_s1037" type="#_x0000_t176" style="position:absolute;left:5595;top:5269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3SMAA&#10;AADbAAAADwAAAGRycy9kb3ducmV2LnhtbERPS2vCQBC+F/wPywheim6iUErqKkWM6EmaCl6H7DQJ&#10;zc6G7Obhv3cFwdt8fM9Zb0dTi55aV1lWEC8iEMS51RUXCi6/6fwThPPIGmvLpOBGDrabydsaE20H&#10;/qE+84UIIewSVFB63yRSurwkg25hG+LA/dnWoA+wLaRucQjhppbLKPqQBisODSU2tCsp/886o+Ds&#10;MnO7dqfUxAWme/d+lccDKzWbjt9fIDyN/iV+uo86zF/B45dw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a3SMAAAADbAAAADwAAAAAAAAAAAAAAAACYAgAAZHJzL2Rvd25y&#10;ZXYueG1sUEsFBgAAAAAEAAQA9QAAAIUDAAAAAA==&#10;" fillcolor="#a3c4ff" strokeweight="1pt">
                      <v:fill color2="#a3c4ff" rotate="t" colors="0 #a3c4ff;11469f #bfd5ff;.5 #e5eeff;54067f #bfd5ff;1 #a3c4ff" focus="100%" type="gradient"/>
                      <v:shadow color="#243f60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投資</w:t>
                            </w:r>
                          </w:p>
                        </w:txbxContent>
                      </v:textbox>
                    </v:shape>
                    <v:shape id="テキスト ボックス 121" o:spid="_x0000_s1038" type="#_x0000_t176" style="position:absolute;left:5595;top:4130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vPMAA&#10;AADbAAAADwAAAGRycy9kb3ducmV2LnhtbERPS2vCQBC+F/wPywheim4iUkrqKkWM6EmaCl6H7DQJ&#10;zc6G7Obhv3cFwdt8fM9Zb0dTi55aV1lWEC8iEMS51RUXCi6/6fwThPPIGmvLpOBGDrabydsaE20H&#10;/qE+84UIIewSVFB63yRSurwkg25hG+LA/dnWoA+wLaRucQjhppbLKPqQBisODSU2tCsp/886o+Ds&#10;MnO7dqfUxAWme/d+lccDKzWbjt9fIDyN/iV+uo86zF/B45dw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8vPMAAAADbAAAADwAAAAAAAAAAAAAAAACYAgAAZHJzL2Rvd25y&#10;ZXYueG1sUEsFBgAAAAAEAAQA9QAAAIUDAAAAAA==&#10;" fillcolor="#a3c4ff" strokeweight="1pt">
                      <v:fill color2="#a3c4ff" rotate="t" colors="0 #a3c4ff;11469f #bfd5ff;.5 #e5eeff;54067f #bfd5ff;1 #a3c4ff" focus="100%" type="gradient"/>
                      <v:shadow color="#243f60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無形固定資産</w:t>
                            </w:r>
                          </w:p>
                        </w:txbxContent>
                      </v:textbox>
                    </v:shape>
                    <v:group id="Group 15" o:spid="_x0000_s1039" style="position:absolute;left:5058;top:3104;width:537;height:2440" coordorigin="6753,4699" coordsize="996,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フリーフォーム 5" o:spid="_x0000_s1040" style="position:absolute;left:7287;top:4699;width:462;height:1144;visibility:visible;mso-wrap-style:square;v-text-anchor:middle" coordsize="411061,1350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TUL8A&#10;AADbAAAADwAAAGRycy9kb3ducmV2LnhtbERPzYrCMBC+C/sOYRa8abIuiFSjiKywLB609QGGZmyL&#10;zaQksXbf3giCt/n4fme1GWwrevKhcazha6pAEJfONFxpOBf7yQJEiMgGW8ek4Z8CbNYfoxVmxt35&#10;RH0eK5FCOGSooY6xy6QMZU0Ww9R1xIm7OG8xJugraTzeU7ht5UypubTYcGqosaNdTeU1v1kN+XeP&#10;1179ufPeH6U6/BxbW1Rajz+H7RJEpCG+xS/3r0nz5/D8JR0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tNQvwAAANsAAAAPAAAAAAAAAAAAAAAAAJgCAABkcnMvZG93bnJl&#10;di54bWxQSwUGAAAAAAQABAD1AAAAhAMAAAAA&#10;" path="m402672,1350628l,1350628,,,411061,e" filled="f" strokeweight="2.25pt">
                        <v:path arrowok="t" o:connecttype="custom" o:connectlocs="815,2683;0,2683;0,0;832,0" o:connectangles="0,0,0,0"/>
                      </v:shape>
                      <v:line id="直線コネクタ 117" o:spid="_x0000_s1041" style="position:absolute;visibility:visible;mso-wrap-style:square" from="6753,5323" to="7749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    </v:group>
                    <v:shape id="テキスト ボックス 121" o:spid="_x0000_s1042" type="#_x0000_t176" style="position:absolute;left:5595;top:7900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4PsQA&#10;AADbAAAADwAAAGRycy9kb3ducmV2LnhtbESPQWsCQQyF7wX/wxDBW521YpWto4hQ8CBIVbDHsJPu&#10;bt3JLDujjv56cyj0lvBe3vsyXybXqCt1ofZsYDTMQBEX3tZcGjgePl9noEJEtth4JgN3CrBc9F7m&#10;mFt/4y+67mOpJIRDjgaqGNtc61BU5DAMfUss2o/vHEZZu1LbDm8S7hr9lmXv2mHN0lBhS+uKivP+&#10;4gz87k4pzaaT+8WOH/W02Sb37ZMxg35afYCKlOK/+e96YwVfYO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eD7EAAAA2wAAAA8AAAAAAAAAAAAAAAAAmAIAAGRycy9k&#10;b3ducmV2LnhtbFBLBQYAAAAABAAEAPUAAACJAwAAAAA=&#10;" fillcolor="#fabf8f" strokeweight="1pt">
                      <v:fill color2="#fde9d9" rotate="t" angle="135" focus="50%" type="gradient"/>
                      <v:shadow color="#974706" opacity=".5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その他の流動資産</w:t>
                            </w:r>
                          </w:p>
                        </w:txbxContent>
                      </v:textbox>
                    </v:shape>
                    <v:shape id="テキスト ボックス 121" o:spid="_x0000_s1043" type="#_x0000_t176" style="position:absolute;left:5593;top:7074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dpcIA&#10;AADbAAAADwAAAGRycy9kb3ducmV2LnhtbERPyWrDMBC9F/oPYgq9NXJasrlRQikUcgiULNAeB2ti&#10;u7FGxpJtOV9fBQK5zeOts1wHU4mOGldaVjAeJSCIM6tLzhUcD18vcxDOI2usLJOCgRysV48PS0y1&#10;7XlH3d7nIoawS1FB4X2dSumyggy6ka2JI3eyjUEfYZNL3WAfw00lX5NkKg2WHBsKrOmzoOy8b42C&#10;v++fEOazydDqt0s5q7bB/Nqg1PNT+HgH4Sn4u/jm3ug4fwH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d2lwgAAANsAAAAPAAAAAAAAAAAAAAAAAJgCAABkcnMvZG93&#10;bnJldi54bWxQSwUGAAAAAAQABAD1AAAAhwMAAAAA&#10;" fillcolor="#fabf8f" strokeweight="1pt">
                      <v:fill color2="#fde9d9" rotate="t" angle="135" focus="50%" type="gradient"/>
                      <v:shadow color="#974706" opacity=".5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たな卸資産</w:t>
                            </w:r>
                          </w:p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21" o:spid="_x0000_s1044" type="#_x0000_t176" style="position:absolute;left:5595;top:6252;width:236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+hcAA&#10;AADbAAAADwAAAGRycy9kb3ducmV2LnhtbERPTYvCMBC9L/gfwgje1lRlV6mmRQTBgyC6C3ocmrGt&#10;NpPSRI3++s1B2OPjfS/yYBpxp87VlhWMhgkI4sLqmksFvz/rzxkI55E1NpZJwZMc5FnvY4Gptg/e&#10;0/3gSxFD2KWooPK+TaV0RUUG3dC2xJE7286gj7Arpe7wEcNNI8dJ8i0N1hwbKmxpVVFxPdyMgsvu&#10;GMJs+vW86cmrnjbbYE42KDXoh+UchKfg/8Vv90YrGMf1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e+hcAAAADbAAAADwAAAAAAAAAAAAAAAACYAgAAZHJzL2Rvd25y&#10;ZXYueG1sUEsFBgAAAAAEAAQA9QAAAIUDAAAAAA==&#10;" fillcolor="#fabf8f" strokeweight="1pt">
                      <v:fill color2="#fde9d9" rotate="t" angle="135" focus="50%" type="gradient"/>
                      <v:shadow color="#974706" opacity=".5" offset="1pt"/>
                      <v:textbox>
                        <w:txbxContent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4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当座資産</w:t>
                            </w:r>
                          </w:p>
                          <w:p w:rsidR="00DF7126" w:rsidRPr="005D44E8" w:rsidRDefault="00DF7126" w:rsidP="00A36A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21" o:spid="_x0000_s1045" style="position:absolute;left:5058;top:6514;width:537;height:1667" coordorigin="6753,3137" coordsize="996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フリーフォーム 5" o:spid="_x0000_s1046" style="position:absolute;left:7287;top:3137;width:462;height:1667;visibility:visible;mso-wrap-style:square;v-text-anchor:middle" coordsize="411061,1350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f7sEA&#10;AADbAAAADwAAAGRycy9kb3ducmV2LnhtbESP0YrCMBRE3wX/IdwF3zTZCotUoyyLgogPWv2AS3Nt&#10;i81NSWKtf28WFvZxmJkzzGoz2Fb05EPjWMPnTIEgLp1puNJwveymCxAhIhtsHZOGFwXYrMejFebG&#10;PflMfRErkSAcctRQx9jlUoayJoth5jri5N2ctxiT9JU0Hp8JbluZKfUlLTacFmrs6Kem8l48rIZi&#10;3uO9Vwd33fmTVMftqbWXSuvJx/C9BBFpiP/hv/beaMgy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hH+7BAAAA2wAAAA8AAAAAAAAAAAAAAAAAmAIAAGRycy9kb3du&#10;cmV2LnhtbFBLBQYAAAAABAAEAPUAAACGAwAAAAA=&#10;" path="m402672,1350628l,1350628,,,411061,e" filled="f" strokeweight="2.25pt">
                        <v:path arrowok="t" o:connecttype="custom" o:connectlocs="815,3910;0,3910;0,0;832,0" o:connectangles="0,0,0,0"/>
                      </v:shape>
                      <v:line id="直線コネクタ 117" o:spid="_x0000_s1047" style="position:absolute;visibility:visible;mso-wrap-style:square" from="6753,3959" to="7746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    </v:group>
                    <v:shape id="Text Box 24" o:spid="_x0000_s1048" type="#_x0000_t202" style="position:absolute;left:8499;top:2558;width:289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yHsYA&#10;AADbAAAADwAAAGRycy9kb3ducmV2LnhtbESP3WrCQBSE7wt9h+UI3ukmUtoasxGRigWhUv/Qu0P2&#10;mIRmz4bsNqZv3y0IvRxm5hsmnfemFh21rrKsIB5HIIhzqysuFBz2q9ErCOeRNdaWScEPOZhnjw8p&#10;Jtre+JO6nS9EgLBLUEHpfZNI6fKSDLqxbYiDd7WtQR9kW0jd4i3ATS0nUfQsDVYcFkpsaFlS/rX7&#10;Ngo2x7M7rLvT2/TDxfFlv4nNy3al1HDQL2YgPPX+P3xvv2sFkyf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oyHsYAAADbAAAADwAAAAAAAAAAAAAAAACYAgAAZHJz&#10;L2Rvd25yZXYueG1sUEsFBgAAAAAEAAQA9QAAAIsDAAAAAA==&#10;" fillcolor="#dbe5f1" strokeweight="1pt">
                      <v:shadow color="#243f60" opacity=".5" offset="1pt"/>
                      <v:textbox>
                        <w:txbxContent>
                          <w:p w:rsidR="00DF7126" w:rsidRPr="00DF7126" w:rsidRDefault="00B41847" w:rsidP="00DF712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土地、</w:t>
                            </w:r>
                            <w:r w:rsidR="00DF7126"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建物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及び付属設備</w:t>
                            </w:r>
                            <w:r w:rsidR="00DF7126"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、構築物、機械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DF7126"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装置、車両運搬具、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工具・器具及び備品</w:t>
                            </w:r>
                            <w:r w:rsidR="00DF7126"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、リース資産、建物仮勘定</w:t>
                            </w:r>
                            <w:r w:rsidR="00EE3C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8494;top:3986;width:2895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XhcYA&#10;AADbAAAADwAAAGRycy9kb3ducmV2LnhtbESPW2vCQBSE3wv9D8sRfNNNhF6M2YhIxYJQqTf07ZA9&#10;JqHZsyG7jem/7xaEPg4z8w2TzntTi45aV1lWEI8jEMS51RUXCg771egVhPPIGmvLpOCHHMyzx4cU&#10;E21v/EndzhciQNglqKD0vkmkdHlJBt3YNsTBu9rWoA+yLaRu8RbgppaTKHqWBisOCyU2tCwp/9p9&#10;GwWb49kd1t3pbfrh4viy38TmZbtSajjoFzMQnnr/H76337WCyRP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aXhcYAAADbAAAADwAAAAAAAAAAAAAAAACYAgAAZHJz&#10;L2Rvd25yZXYueG1sUEsFBgAAAAAEAAQA9QAAAIsDAAAAAA==&#10;" fillcolor="#dbe5f1" strokeweight="1pt">
                      <v:shadow color="#243f60" opacity=".5" offset="1pt"/>
                      <v:textbox>
                        <w:txbxContent>
                          <w:p w:rsidR="00DF7126" w:rsidRPr="00DF7126" w:rsidRDefault="00B41847" w:rsidP="00DF712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水利権、特許権、営業権、借地権（地上権）、ソフトウェア</w:t>
                            </w:r>
                            <w:r w:rsidR="00DF7126"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8493;top:5207;width:289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J8sUA&#10;AADbAAAADwAAAGRycy9kb3ducmV2LnhtbESPT2vCQBTE74LfYXmCN93Eg22jq4goCoLFv9jbI/ua&#10;BLNvQ3aN6bd3C4Ueh5n5DTOdt6YUDdWusKwgHkYgiFOrC84UnE/rwTsI55E1lpZJwQ85mM+6nSkm&#10;2j75QM3RZyJA2CWoIPe+SqR0aU4G3dBWxMH7trVBH2SdSV3jM8BNKUdRNJYGCw4LOVa0zCm9Hx9G&#10;we5yc+dNc1197F0cf512sXn7XCvV77WLCQhPrf8P/7W3WsFoDL9fwg+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AnyxQAAANsAAAAPAAAAAAAAAAAAAAAAAJgCAABkcnMv&#10;ZG93bnJldi54bWxQSwUGAAAAAAQABAD1AAAAigMAAAAA&#10;" fillcolor="#dbe5f1" strokeweight="1pt">
                      <v:shadow color="#243f60" opacity=".5" offset="1pt"/>
                      <v:textbox>
                        <w:txbxContent>
                          <w:p w:rsidR="00DF7126" w:rsidRPr="00DF7126" w:rsidRDefault="00DF7126" w:rsidP="00DF712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出資金、長期貸付金、</w:t>
                            </w:r>
                          </w:p>
                          <w:p w:rsidR="00DF7126" w:rsidRPr="00DF7126" w:rsidRDefault="00DF7126" w:rsidP="00DF712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F7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基金など</w:t>
                            </w:r>
                          </w:p>
                        </w:txbxContent>
                      </v:textbox>
                    </v:shape>
                    <v:line id="直線コネクタ 117" o:spid="_x0000_s1051" style="position:absolute;visibility:visible;mso-wrap-style:square" from="7964,4426" to="8494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    <v:line id="直線コネクタ 117" o:spid="_x0000_s1052" style="position:absolute;flip:y;visibility:visible;mso-wrap-style:square" from="7964,5557" to="8493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rfvGAAAA2wAAAA8AAAAAAAAA&#10;AAAAAAAAoQIAAGRycy9kb3ducmV2LnhtbFBLBQYAAAAABAAEAPkAAACUAwAAAAA=&#10;" strokeweight="2.25pt"/>
                    <v:shape id="フリーフォーム 5" o:spid="_x0000_s1053" style="position:absolute;left:3076;top:4426;width:287;height:2910;visibility:visible;mso-wrap-style:square;v-text-anchor:middle" coordsize="411061,1350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Nn8EA&#10;AADbAAAADwAAAGRycy9kb3ducmV2LnhtbESP0YrCMBRE34X9h3AX9k0TXRCtRpFlBREftPoBl+ba&#10;FpubksTa/fuNIPg4zMwZZrnubSM68qF2rGE8UiCIC2dqLjVcztvhDESIyAYbx6ThjwKsVx+DJWbG&#10;PfhEXR5LkSAcMtRQxdhmUoaiIoth5Fri5F2dtxiT9KU0Hh8Jbhs5UWoqLdacFips6aei4pbfrYb8&#10;u8Nbp/busvVHqQ6/x8aeS62/PvvNAkSkPr7Dr/bOaJjM4f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FjZ/BAAAA2wAAAA8AAAAAAAAAAAAAAAAAmAIAAGRycy9kb3du&#10;cmV2LnhtbFBLBQYAAAAABAAEAPUAAACGAwAAAAA=&#10;" path="m402672,1350628l,1350628,,,411061,e" filled="f" strokeweight="2.25pt">
                      <v:path arrowok="t" o:connecttype="custom" o:connectlocs="506,6826;0,6826;0,0;517,0" o:connectangles="0,0,0,0"/>
                    </v:shape>
                  </v:group>
                </v:group>
              </v:group>
            </w:pict>
          </mc:Fallback>
        </mc:AlternateContent>
      </w:r>
    </w:p>
    <w:p w:rsidR="00DF7126" w:rsidRPr="00DF7126" w:rsidRDefault="00DF7126" w:rsidP="00DF7126">
      <w:pPr>
        <w:ind w:leftChars="67" w:left="141" w:firstLineChars="100" w:firstLine="210"/>
        <w:rPr>
          <w:rFonts w:asciiTheme="minorEastAsia" w:hAnsiTheme="minorEastAsia"/>
        </w:rPr>
      </w:pPr>
    </w:p>
    <w:p w:rsidR="00DF7126" w:rsidRPr="00DF7126" w:rsidRDefault="00DF7126" w:rsidP="00DF7126">
      <w:pPr>
        <w:ind w:leftChars="67" w:left="141" w:firstLineChars="100" w:firstLine="210"/>
        <w:rPr>
          <w:rFonts w:asciiTheme="minorEastAsia" w:hAnsiTheme="minorEastAsia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DF7126">
      <w:pPr>
        <w:rPr>
          <w:rFonts w:ascii="HG丸ｺﾞｼｯｸM-PRO" w:eastAsia="HG丸ｺﾞｼｯｸM-PRO" w:hAnsi="HG丸ｺﾞｼｯｸM-PRO"/>
        </w:rPr>
      </w:pPr>
    </w:p>
    <w:p w:rsidR="00EE3CD5" w:rsidRDefault="00EE3CD5" w:rsidP="00EE3CD5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6B5F71" w:rsidRPr="00EE3CD5" w:rsidRDefault="006B5F71" w:rsidP="00EE3CD5">
      <w:pPr>
        <w:spacing w:line="200" w:lineRule="exact"/>
        <w:ind w:leftChars="67" w:left="141" w:firstLineChars="100" w:firstLine="210"/>
        <w:rPr>
          <w:rFonts w:asciiTheme="minorEastAsia" w:hAnsiTheme="minorEastAsia"/>
        </w:rPr>
      </w:pPr>
    </w:p>
    <w:p w:rsidR="00EE3CD5" w:rsidRPr="0022526E" w:rsidRDefault="00EE3CD5" w:rsidP="00EE3CD5">
      <w:pPr>
        <w:ind w:firstLineChars="50" w:firstLine="105"/>
        <w:jc w:val="center"/>
        <w:rPr>
          <w:rFonts w:asciiTheme="minorEastAsia" w:hAnsiTheme="minorEastAsia"/>
        </w:rPr>
      </w:pPr>
      <w:r w:rsidRPr="0022526E">
        <w:rPr>
          <w:rFonts w:asciiTheme="minorEastAsia" w:hAnsiTheme="minorEastAsia" w:hint="eastAsia"/>
        </w:rPr>
        <w:t>図</w:t>
      </w:r>
      <w:r>
        <w:rPr>
          <w:rFonts w:asciiTheme="minorEastAsia" w:hAnsiTheme="minorEastAsia" w:hint="eastAsia"/>
        </w:rPr>
        <w:t>2</w:t>
      </w:r>
      <w:r w:rsidRPr="0022526E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資産の分類</w:t>
      </w:r>
    </w:p>
    <w:p w:rsidR="00DF7126" w:rsidRPr="00EE3CD5" w:rsidRDefault="00DF7126">
      <w:pPr>
        <w:rPr>
          <w:rFonts w:ascii="HG丸ｺﾞｼｯｸM-PRO" w:eastAsia="HG丸ｺﾞｼｯｸM-PRO" w:hAnsi="HG丸ｺﾞｼｯｸM-PRO"/>
        </w:rPr>
      </w:pPr>
    </w:p>
    <w:p w:rsidR="00DF7126" w:rsidRDefault="00E446E3" w:rsidP="00E446E3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(2)有形固定資産の取得の形態</w:t>
      </w:r>
    </w:p>
    <w:p w:rsidR="00E446E3" w:rsidRPr="00E446E3" w:rsidRDefault="00E446E3" w:rsidP="00E446E3">
      <w:pPr>
        <w:ind w:leftChars="67" w:left="141" w:firstLineChars="100" w:firstLine="210"/>
        <w:rPr>
          <w:rFonts w:asciiTheme="minorEastAsia" w:hAnsiTheme="minorEastAsia"/>
        </w:rPr>
      </w:pPr>
      <w:r w:rsidRPr="00E446E3">
        <w:rPr>
          <w:rFonts w:asciiTheme="minorEastAsia" w:hAnsiTheme="minorEastAsia" w:hint="eastAsia"/>
        </w:rPr>
        <w:t>有形固定資産は、土地、建物、機械装置等いわゆる固定的な有体物で、取得の形態としては、その大部分を占める購入・製作のほかに交換・受贈等があ</w:t>
      </w:r>
      <w:r>
        <w:rPr>
          <w:rFonts w:asciiTheme="minorEastAsia" w:hAnsiTheme="minorEastAsia" w:hint="eastAsia"/>
        </w:rPr>
        <w:t>る。</w:t>
      </w:r>
    </w:p>
    <w:p w:rsidR="00DF7126" w:rsidRPr="00E446E3" w:rsidRDefault="00E446E3" w:rsidP="00E446E3">
      <w:pPr>
        <w:ind w:leftChars="67" w:left="141" w:firstLineChars="100" w:firstLine="210"/>
        <w:rPr>
          <w:rFonts w:asciiTheme="minorEastAsia" w:hAnsiTheme="minorEastAsia"/>
        </w:rPr>
      </w:pPr>
      <w:r w:rsidRPr="00E446E3">
        <w:rPr>
          <w:rFonts w:asciiTheme="minorEastAsia" w:hAnsiTheme="minorEastAsia" w:hint="eastAsia"/>
        </w:rPr>
        <w:t>下水道事業</w:t>
      </w:r>
      <w:r>
        <w:rPr>
          <w:rFonts w:asciiTheme="minorEastAsia" w:hAnsiTheme="minorEastAsia" w:hint="eastAsia"/>
        </w:rPr>
        <w:t>における</w:t>
      </w:r>
      <w:r w:rsidRPr="00E446E3">
        <w:rPr>
          <w:rFonts w:asciiTheme="minorEastAsia" w:hAnsiTheme="minorEastAsia" w:hint="eastAsia"/>
        </w:rPr>
        <w:t>有形固定資産</w:t>
      </w:r>
      <w:r>
        <w:rPr>
          <w:rFonts w:asciiTheme="minorEastAsia" w:hAnsiTheme="minorEastAsia" w:hint="eastAsia"/>
        </w:rPr>
        <w:t>では、</w:t>
      </w:r>
      <w:r w:rsidRPr="00E446E3">
        <w:rPr>
          <w:rFonts w:asciiTheme="minorEastAsia" w:hAnsiTheme="minorEastAsia" w:hint="eastAsia"/>
        </w:rPr>
        <w:t>取得形態のほとんどが、建設工事（購入および製作に相当）で</w:t>
      </w:r>
      <w:r>
        <w:rPr>
          <w:rFonts w:asciiTheme="minorEastAsia" w:hAnsiTheme="minorEastAsia" w:hint="eastAsia"/>
        </w:rPr>
        <w:t>あることから、資産調査では、工事図書（設計書、図面など）の整理が必要である</w:t>
      </w:r>
      <w:r w:rsidRPr="00E446E3">
        <w:rPr>
          <w:rFonts w:asciiTheme="minorEastAsia" w:hAnsiTheme="minorEastAsia" w:hint="eastAsia"/>
        </w:rPr>
        <w:t>。</w:t>
      </w:r>
    </w:p>
    <w:p w:rsidR="00DF7126" w:rsidRPr="00E446E3" w:rsidRDefault="00DF7126" w:rsidP="00E446E3">
      <w:pPr>
        <w:ind w:leftChars="67" w:left="141" w:firstLineChars="100" w:firstLine="210"/>
        <w:rPr>
          <w:rFonts w:asciiTheme="minorEastAsia" w:hAnsiTheme="minorEastAsia"/>
        </w:rPr>
      </w:pPr>
    </w:p>
    <w:p w:rsidR="00E446E3" w:rsidRDefault="00E446E3" w:rsidP="00E446E3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(3)資産評価</w:t>
      </w:r>
    </w:p>
    <w:p w:rsidR="00E446E3" w:rsidRPr="00E446E3" w:rsidRDefault="00E446E3" w:rsidP="00E446E3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資産調査で整理した固定資産について、</w:t>
      </w:r>
      <w:r w:rsidRPr="00E446E3">
        <w:rPr>
          <w:rFonts w:asciiTheme="minorEastAsia" w:hAnsiTheme="minorEastAsia" w:hint="eastAsia"/>
        </w:rPr>
        <w:t>取得時期、取得価額、耐用年数をもとに、</w:t>
      </w:r>
      <w:r w:rsidR="006B5F71">
        <w:rPr>
          <w:rFonts w:asciiTheme="minorEastAsia" w:hAnsiTheme="minorEastAsia" w:hint="eastAsia"/>
        </w:rPr>
        <w:t>関係法令に準拠した方法で、減価償却計算を行い、</w:t>
      </w:r>
      <w:r w:rsidRPr="00E446E3">
        <w:rPr>
          <w:rFonts w:asciiTheme="minorEastAsia" w:hAnsiTheme="minorEastAsia" w:hint="eastAsia"/>
        </w:rPr>
        <w:t>企業会計開始時における帳簿価額を算定する。</w:t>
      </w:r>
    </w:p>
    <w:p w:rsidR="00E446E3" w:rsidRPr="00E072DF" w:rsidRDefault="00E446E3" w:rsidP="00E446E3">
      <w:pPr>
        <w:spacing w:line="200" w:lineRule="exact"/>
        <w:ind w:leftChars="320" w:left="672" w:firstLineChars="100" w:firstLine="210"/>
        <w:rPr>
          <w:rFonts w:ascii="ＭＳ 明朝" w:hAnsi="ＭＳ 明朝"/>
        </w:rPr>
      </w:pPr>
    </w:p>
    <w:p w:rsidR="00DF7126" w:rsidRDefault="00DF712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45E59" w:rsidRPr="00D87AF8" w:rsidRDefault="009E1C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3</w:t>
      </w:r>
      <w:r w:rsidR="00962DFC" w:rsidRPr="00D87AF8">
        <w:rPr>
          <w:rFonts w:ascii="HG丸ｺﾞｼｯｸM-PRO" w:eastAsia="HG丸ｺﾞｼｯｸM-PRO" w:hAnsi="HG丸ｺﾞｼｯｸM-PRO" w:hint="eastAsia"/>
        </w:rPr>
        <w:t>.</w:t>
      </w:r>
      <w:r w:rsidR="00D87AF8" w:rsidRPr="00D87AF8">
        <w:rPr>
          <w:rFonts w:ascii="HG丸ｺﾞｼｯｸM-PRO" w:eastAsia="HG丸ｺﾞｼｯｸM-PRO" w:hAnsi="HG丸ｺﾞｼｯｸM-PRO" w:hint="eastAsia"/>
        </w:rPr>
        <w:t xml:space="preserve"> 彦根市における</w:t>
      </w:r>
      <w:r w:rsidR="003E7EC2">
        <w:rPr>
          <w:rFonts w:ascii="HG丸ｺﾞｼｯｸM-PRO" w:eastAsia="HG丸ｺﾞｼｯｸM-PRO" w:hAnsi="HG丸ｺﾞｼｯｸM-PRO" w:hint="eastAsia"/>
        </w:rPr>
        <w:t>法適化への</w:t>
      </w:r>
      <w:r w:rsidR="00D87AF8" w:rsidRPr="00D87AF8">
        <w:rPr>
          <w:rFonts w:ascii="HG丸ｺﾞｼｯｸM-PRO" w:eastAsia="HG丸ｺﾞｼｯｸM-PRO" w:hAnsi="HG丸ｺﾞｼｯｸM-PRO" w:hint="eastAsia"/>
        </w:rPr>
        <w:t>取</w:t>
      </w:r>
      <w:r w:rsidR="00B41847">
        <w:rPr>
          <w:rFonts w:ascii="HG丸ｺﾞｼｯｸM-PRO" w:eastAsia="HG丸ｺﾞｼｯｸM-PRO" w:hAnsi="HG丸ｺﾞｼｯｸM-PRO" w:hint="eastAsia"/>
        </w:rPr>
        <w:t>り</w:t>
      </w:r>
      <w:r w:rsidR="00D87AF8" w:rsidRPr="00D87AF8">
        <w:rPr>
          <w:rFonts w:ascii="HG丸ｺﾞｼｯｸM-PRO" w:eastAsia="HG丸ｺﾞｼｯｸM-PRO" w:hAnsi="HG丸ｺﾞｼｯｸM-PRO" w:hint="eastAsia"/>
        </w:rPr>
        <w:t>組み</w:t>
      </w:r>
    </w:p>
    <w:p w:rsidR="00962DFC" w:rsidRPr="00D87AF8" w:rsidRDefault="00D87AF8" w:rsidP="00D87AF8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87AF8">
        <w:rPr>
          <w:rFonts w:ascii="HG丸ｺﾞｼｯｸM-PRO" w:eastAsia="HG丸ｺﾞｼｯｸM-PRO" w:hAnsi="HG丸ｺﾞｼｯｸM-PRO" w:hint="eastAsia"/>
        </w:rPr>
        <w:t>(1)</w:t>
      </w:r>
      <w:r w:rsidR="003E7EC2">
        <w:rPr>
          <w:rFonts w:ascii="HG丸ｺﾞｼｯｸM-PRO" w:eastAsia="HG丸ｺﾞｼｯｸM-PRO" w:hAnsi="HG丸ｺﾞｼｯｸM-PRO" w:hint="eastAsia"/>
        </w:rPr>
        <w:t>取り組み状況</w:t>
      </w:r>
    </w:p>
    <w:p w:rsidR="0033615B" w:rsidRDefault="003E7EC2" w:rsidP="003E7EC2">
      <w:pPr>
        <w:ind w:leftChars="67" w:left="141" w:firstLineChars="100" w:firstLine="210"/>
        <w:rPr>
          <w:rFonts w:asciiTheme="minorEastAsia" w:hAnsiTheme="minorEastAsia"/>
        </w:rPr>
      </w:pPr>
      <w:r w:rsidRPr="003E7EC2">
        <w:rPr>
          <w:rFonts w:asciiTheme="minorEastAsia" w:hAnsiTheme="minorEastAsia" w:hint="eastAsia"/>
        </w:rPr>
        <w:t>彦根市における</w:t>
      </w:r>
      <w:r w:rsidR="00A605CD">
        <w:rPr>
          <w:rFonts w:asciiTheme="minorEastAsia" w:hAnsiTheme="minorEastAsia" w:hint="eastAsia"/>
        </w:rPr>
        <w:t>公共下水道事業の</w:t>
      </w:r>
      <w:r>
        <w:rPr>
          <w:rFonts w:asciiTheme="minorEastAsia" w:hAnsiTheme="minorEastAsia" w:hint="eastAsia"/>
        </w:rPr>
        <w:t>法適化</w:t>
      </w:r>
      <w:r w:rsidR="008D35CE">
        <w:rPr>
          <w:rFonts w:asciiTheme="minorEastAsia" w:hAnsiTheme="minorEastAsia" w:hint="eastAsia"/>
        </w:rPr>
        <w:t>へ</w:t>
      </w:r>
      <w:r>
        <w:rPr>
          <w:rFonts w:asciiTheme="minorEastAsia" w:hAnsiTheme="minorEastAsia" w:hint="eastAsia"/>
        </w:rPr>
        <w:t>の取り組み状況を下記に示す。</w:t>
      </w:r>
    </w:p>
    <w:p w:rsidR="003E7EC2" w:rsidRDefault="003E7EC2" w:rsidP="003E7EC2">
      <w:pPr>
        <w:ind w:leftChars="67" w:left="141" w:firstLineChars="100" w:firstLine="210"/>
        <w:rPr>
          <w:rFonts w:asciiTheme="minorEastAsia" w:hAnsiTheme="minorEastAsia"/>
        </w:rPr>
      </w:pPr>
    </w:p>
    <w:p w:rsidR="003E7EC2" w:rsidRDefault="003E7EC2" w:rsidP="003E7EC2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①平成25年度 彦根市</w:t>
      </w:r>
      <w:r w:rsidRPr="003E7EC2">
        <w:rPr>
          <w:rFonts w:asciiTheme="minorEastAsia" w:hAnsiTheme="minorEastAsia" w:hint="eastAsia"/>
        </w:rPr>
        <w:t>下水道事業公営企業会計移行基本計画策定業務</w:t>
      </w:r>
    </w:p>
    <w:p w:rsidR="003E7EC2" w:rsidRDefault="003E7EC2" w:rsidP="003E7EC2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◆法適化基本方針の設定</w:t>
      </w:r>
    </w:p>
    <w:p w:rsidR="003E7EC2" w:rsidRDefault="003E7EC2" w:rsidP="003E7EC2">
      <w:pPr>
        <w:ind w:leftChars="67" w:left="141" w:firstLineChars="400" w:firstLine="84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</w:rPr>
        <w:t>・</w:t>
      </w:r>
      <w:r w:rsidRPr="00625DD4">
        <w:rPr>
          <w:rFonts w:ascii="ＭＳ 明朝" w:hAnsi="ＭＳ 明朝" w:hint="eastAsia"/>
          <w:szCs w:val="21"/>
        </w:rPr>
        <w:t>対象事業、適用範囲の再確認</w:t>
      </w:r>
    </w:p>
    <w:p w:rsidR="003E7EC2" w:rsidRDefault="003E7EC2" w:rsidP="003E7EC2">
      <w:pPr>
        <w:ind w:leftChars="67" w:left="141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・執行体制の確認</w:t>
      </w:r>
    </w:p>
    <w:p w:rsidR="003E7EC2" w:rsidRDefault="003E7EC2" w:rsidP="003E7EC2">
      <w:pPr>
        <w:ind w:leftChars="67" w:left="141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B762F9">
        <w:rPr>
          <w:rFonts w:ascii="ＭＳ 明朝" w:hAnsi="ＭＳ 明朝" w:hint="eastAsia"/>
          <w:szCs w:val="21"/>
        </w:rPr>
        <w:t>法適用スケジュール策定</w:t>
      </w:r>
    </w:p>
    <w:p w:rsid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>
        <w:rPr>
          <w:rFonts w:ascii="ＭＳ 明朝" w:hAnsi="ＭＳ 明朝" w:hint="eastAsia"/>
          <w:szCs w:val="21"/>
        </w:rPr>
        <w:t>・関連資料の基礎調査</w:t>
      </w:r>
    </w:p>
    <w:p w:rsidR="003E7EC2" w:rsidRDefault="003E7EC2" w:rsidP="003E7EC2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◆固定資産調査・評価</w:t>
      </w:r>
    </w:p>
    <w:p w:rsidR="003E7EC2" w:rsidRP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 w:rsidRPr="003E7EC2">
        <w:rPr>
          <w:rFonts w:asciiTheme="minorEastAsia" w:hAnsiTheme="minorEastAsia" w:hint="eastAsia"/>
        </w:rPr>
        <w:t>・調査基本方針の策定</w:t>
      </w:r>
    </w:p>
    <w:p w:rsidR="003E7EC2" w:rsidRP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 w:rsidRPr="003E7EC2">
        <w:rPr>
          <w:rFonts w:asciiTheme="minorEastAsia" w:hAnsiTheme="minorEastAsia" w:hint="eastAsia"/>
        </w:rPr>
        <w:t>・決算書（財源）の整理</w:t>
      </w:r>
    </w:p>
    <w:p w:rsidR="003E7EC2" w:rsidRP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 w:rsidRPr="003E7EC2">
        <w:rPr>
          <w:rFonts w:asciiTheme="minorEastAsia" w:hAnsiTheme="minorEastAsia" w:hint="eastAsia"/>
        </w:rPr>
        <w:t>・資料等の調査及び工事関連情報の整理</w:t>
      </w:r>
    </w:p>
    <w:p w:rsidR="003E7EC2" w:rsidRDefault="003E7EC2" w:rsidP="003E7EC2">
      <w:pPr>
        <w:ind w:leftChars="67" w:left="141" w:firstLineChars="100" w:firstLine="210"/>
        <w:rPr>
          <w:rFonts w:ascii="ＭＳ 明朝" w:hAnsi="ＭＳ 明朝"/>
          <w:szCs w:val="21"/>
        </w:rPr>
      </w:pPr>
    </w:p>
    <w:p w:rsidR="003E7EC2" w:rsidRDefault="003E7EC2" w:rsidP="003E7EC2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Pr="003E7EC2">
        <w:rPr>
          <w:rFonts w:asciiTheme="minorEastAsia" w:hAnsiTheme="minorEastAsia" w:hint="eastAsia"/>
        </w:rPr>
        <w:t>平成26年度 彦根市下水道事業地方公営企業法適用化移行支援委託業務</w:t>
      </w:r>
    </w:p>
    <w:p w:rsidR="003E7EC2" w:rsidRDefault="003E7EC2" w:rsidP="003E7EC2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◆固定資産調査</w:t>
      </w:r>
    </w:p>
    <w:p w:rsidR="00F41ADE" w:rsidRPr="003E7EC2" w:rsidRDefault="003E7EC2" w:rsidP="00F41AD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資産データ作成</w:t>
      </w:r>
      <w:r w:rsidR="00F41ADE">
        <w:rPr>
          <w:rFonts w:asciiTheme="minorEastAsia" w:hAnsiTheme="minorEastAsia" w:hint="eastAsia"/>
        </w:rPr>
        <w:tab/>
        <w:t>： 512km（H25年度工事まで）</w:t>
      </w:r>
    </w:p>
    <w:p w:rsidR="003E7EC2" w:rsidRPr="003E7EC2" w:rsidRDefault="003E7EC2" w:rsidP="00F41AD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資産位置データ作成</w:t>
      </w:r>
      <w:r w:rsidR="00F41ADE">
        <w:rPr>
          <w:rFonts w:asciiTheme="minorEastAsia" w:hAnsiTheme="minorEastAsia" w:hint="eastAsia"/>
        </w:rPr>
        <w:tab/>
        <w:t>： 512km（H25年度工事まで）</w:t>
      </w:r>
    </w:p>
    <w:p w:rsidR="003E7EC2" w:rsidRP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資産台帳システムセットアップ</w:t>
      </w:r>
    </w:p>
    <w:p w:rsidR="003E7EC2" w:rsidRPr="003E7EC2" w:rsidRDefault="003E7EC2" w:rsidP="003E7EC2">
      <w:pPr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職員操作研修</w:t>
      </w:r>
    </w:p>
    <w:p w:rsidR="003E7EC2" w:rsidRPr="003E7EC2" w:rsidRDefault="003E7EC2" w:rsidP="003E7EC2">
      <w:pPr>
        <w:ind w:leftChars="67" w:left="141" w:firstLineChars="100" w:firstLine="210"/>
        <w:rPr>
          <w:rFonts w:asciiTheme="minorEastAsia" w:hAnsiTheme="minorEastAsia"/>
        </w:rPr>
      </w:pPr>
    </w:p>
    <w:p w:rsidR="003E7EC2" w:rsidRDefault="00105B65" w:rsidP="003E7EC2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③平成28年度 </w:t>
      </w:r>
      <w:r w:rsidRPr="00105B65">
        <w:rPr>
          <w:rFonts w:asciiTheme="minorEastAsia" w:hAnsiTheme="minorEastAsia" w:hint="eastAsia"/>
        </w:rPr>
        <w:t>彦根市下水道事業地方公営企業法適用準備事業</w:t>
      </w:r>
      <w:r>
        <w:rPr>
          <w:rFonts w:asciiTheme="minorEastAsia" w:hAnsiTheme="minorEastAsia" w:hint="eastAsia"/>
        </w:rPr>
        <w:t xml:space="preserve"> </w:t>
      </w:r>
      <w:r w:rsidRPr="00105B65">
        <w:rPr>
          <w:rFonts w:asciiTheme="minorEastAsia" w:hAnsiTheme="minorEastAsia" w:hint="eastAsia"/>
        </w:rPr>
        <w:t>固定資産評価業務等委託</w:t>
      </w:r>
    </w:p>
    <w:p w:rsidR="00105B65" w:rsidRDefault="00105B65" w:rsidP="00105B65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◆固定資産調査</w:t>
      </w:r>
    </w:p>
    <w:p w:rsidR="00105B65" w:rsidRPr="003E7EC2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資産データ作成</w:t>
      </w:r>
      <w:r>
        <w:rPr>
          <w:rFonts w:asciiTheme="minorEastAsia" w:hAnsiTheme="minorEastAsia" w:hint="eastAsia"/>
        </w:rPr>
        <w:tab/>
        <w:t>： H26年度完成工事分</w:t>
      </w:r>
      <w:r w:rsidR="008D35CE">
        <w:rPr>
          <w:rFonts w:asciiTheme="minorEastAsia" w:hAnsiTheme="minorEastAsia" w:hint="eastAsia"/>
        </w:rPr>
        <w:t>（68件）</w:t>
      </w:r>
    </w:p>
    <w:p w:rsidR="00105B65" w:rsidRPr="003E7EC2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資産位置データ作成</w:t>
      </w:r>
      <w:r>
        <w:rPr>
          <w:rFonts w:asciiTheme="minorEastAsia" w:hAnsiTheme="minorEastAsia" w:hint="eastAsia"/>
        </w:rPr>
        <w:tab/>
        <w:t>： H26年度完成工事分</w:t>
      </w:r>
      <w:r w:rsidR="008D35CE">
        <w:rPr>
          <w:rFonts w:asciiTheme="minorEastAsia" w:hAnsiTheme="minorEastAsia" w:hint="eastAsia"/>
        </w:rPr>
        <w:t>（68件）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・工事外取得資産データの作成</w:t>
      </w:r>
      <w:r>
        <w:rPr>
          <w:rFonts w:asciiTheme="minorEastAsia" w:hAnsiTheme="minorEastAsia" w:hint="eastAsia"/>
        </w:rPr>
        <w:tab/>
        <w:t>： H26年度まで</w:t>
      </w:r>
    </w:p>
    <w:p w:rsid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・財源データ作成</w:t>
      </w:r>
      <w:r>
        <w:rPr>
          <w:rFonts w:asciiTheme="minorEastAsia" w:hAnsiTheme="minorEastAsia" w:hint="eastAsia"/>
        </w:rPr>
        <w:tab/>
        <w:t>： H26年度まで</w:t>
      </w:r>
    </w:p>
    <w:p w:rsidR="00105B65" w:rsidRDefault="00105B65" w:rsidP="00105B65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◆資産評価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05B65">
        <w:rPr>
          <w:rFonts w:asciiTheme="minorEastAsia" w:hAnsiTheme="minorEastAsia" w:hint="eastAsia"/>
        </w:rPr>
        <w:t>資産評価のための資産データの精査</w:t>
      </w:r>
      <w:r>
        <w:rPr>
          <w:rFonts w:asciiTheme="minorEastAsia" w:hAnsiTheme="minorEastAsia" w:hint="eastAsia"/>
        </w:rPr>
        <w:tab/>
        <w:t>： H26年度まで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05B65">
        <w:rPr>
          <w:rFonts w:asciiTheme="minorEastAsia" w:hAnsiTheme="minorEastAsia" w:hint="eastAsia"/>
        </w:rPr>
        <w:t>減価償却費の算出</w:t>
      </w:r>
      <w:r>
        <w:rPr>
          <w:rFonts w:asciiTheme="minorEastAsia" w:hAnsiTheme="minorEastAsia" w:hint="eastAsia"/>
        </w:rPr>
        <w:tab/>
        <w:t>： H26年度まで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05B65">
        <w:rPr>
          <w:rFonts w:asciiTheme="minorEastAsia" w:hAnsiTheme="minorEastAsia" w:hint="eastAsia"/>
        </w:rPr>
        <w:t>長期前受金の整理</w:t>
      </w:r>
      <w:r>
        <w:rPr>
          <w:rFonts w:asciiTheme="minorEastAsia" w:hAnsiTheme="minorEastAsia" w:hint="eastAsia"/>
        </w:rPr>
        <w:tab/>
        <w:t>： H26年度まで</w:t>
      </w:r>
    </w:p>
    <w:p w:rsidR="00105B65" w:rsidRPr="00105B65" w:rsidRDefault="00105B65" w:rsidP="00105B65">
      <w:pPr>
        <w:ind w:leftChars="67" w:left="141" w:firstLineChars="300" w:firstLine="63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◆審議会向け説明資料作成支援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・経営戦略策定に向けた検討支援</w:t>
      </w:r>
    </w:p>
    <w:p w:rsidR="00105B65" w:rsidRPr="00105B65" w:rsidRDefault="00105B65" w:rsidP="00105B65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・下水道事業法適化説明資料の作成</w:t>
      </w:r>
    </w:p>
    <w:p w:rsidR="00105B65" w:rsidRDefault="00105B65" w:rsidP="003E7EC2">
      <w:pPr>
        <w:ind w:leftChars="67" w:left="141" w:firstLineChars="100" w:firstLine="210"/>
        <w:rPr>
          <w:rFonts w:asciiTheme="minorEastAsia" w:hAnsiTheme="minorEastAsia"/>
        </w:rPr>
      </w:pPr>
    </w:p>
    <w:p w:rsidR="00A605CD" w:rsidRDefault="00A605CD" w:rsidP="003E7EC2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④平成29年度 下水道固定資産評価業務委託</w:t>
      </w:r>
      <w:r w:rsidR="00EC2E8B">
        <w:rPr>
          <w:rFonts w:asciiTheme="minorEastAsia" w:hAnsiTheme="minorEastAsia" w:hint="eastAsia"/>
        </w:rPr>
        <w:t>（実施中）</w:t>
      </w:r>
    </w:p>
    <w:p w:rsidR="008D35CE" w:rsidRDefault="008D35CE" w:rsidP="008D35CE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◆固定資産調査</w:t>
      </w:r>
    </w:p>
    <w:p w:rsidR="008D35CE" w:rsidRPr="003E7EC2" w:rsidRDefault="008D35CE" w:rsidP="008D35C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E7EC2">
        <w:rPr>
          <w:rFonts w:asciiTheme="minorEastAsia" w:hAnsiTheme="minorEastAsia" w:hint="eastAsia"/>
        </w:rPr>
        <w:t>資産データ作成</w:t>
      </w:r>
      <w:r>
        <w:rPr>
          <w:rFonts w:asciiTheme="minorEastAsia" w:hAnsiTheme="minorEastAsia" w:hint="eastAsia"/>
        </w:rPr>
        <w:tab/>
        <w:t>： H27年度完成工事分（108件）</w:t>
      </w:r>
    </w:p>
    <w:p w:rsidR="008D35CE" w:rsidRPr="003E7EC2" w:rsidRDefault="008D35CE" w:rsidP="008D35C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・</w:t>
      </w:r>
      <w:r w:rsidRPr="003E7EC2">
        <w:rPr>
          <w:rFonts w:asciiTheme="minorEastAsia" w:hAnsiTheme="minorEastAsia" w:hint="eastAsia"/>
        </w:rPr>
        <w:t>資産位置データ作成</w:t>
      </w:r>
      <w:r>
        <w:rPr>
          <w:rFonts w:asciiTheme="minorEastAsia" w:hAnsiTheme="minorEastAsia" w:hint="eastAsia"/>
        </w:rPr>
        <w:tab/>
        <w:t>： H27年度完成工事分（108件）</w:t>
      </w:r>
    </w:p>
    <w:p w:rsidR="008D35CE" w:rsidRDefault="008D35CE" w:rsidP="008D35CE">
      <w:pPr>
        <w:ind w:leftChars="67" w:left="141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◆資産評価</w:t>
      </w:r>
    </w:p>
    <w:p w:rsidR="00EC2E8B" w:rsidRPr="00105B65" w:rsidRDefault="00EC2E8B" w:rsidP="00EC2E8B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・工事外取得資産データの作成</w:t>
      </w:r>
      <w:r>
        <w:rPr>
          <w:rFonts w:asciiTheme="minorEastAsia" w:hAnsiTheme="minorEastAsia" w:hint="eastAsia"/>
        </w:rPr>
        <w:tab/>
        <w:t>： H27年度まで</w:t>
      </w:r>
    </w:p>
    <w:p w:rsidR="00EC2E8B" w:rsidRDefault="00EC2E8B" w:rsidP="00EC2E8B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 w:rsidRPr="00105B65">
        <w:rPr>
          <w:rFonts w:asciiTheme="minorEastAsia" w:hAnsiTheme="minorEastAsia" w:hint="eastAsia"/>
        </w:rPr>
        <w:t>・財源データ作成</w:t>
      </w:r>
      <w:r>
        <w:rPr>
          <w:rFonts w:asciiTheme="minorEastAsia" w:hAnsiTheme="minorEastAsia" w:hint="eastAsia"/>
        </w:rPr>
        <w:tab/>
        <w:t>： H27年度まで</w:t>
      </w:r>
    </w:p>
    <w:p w:rsidR="008D35CE" w:rsidRPr="00105B65" w:rsidRDefault="008D35CE" w:rsidP="008D35C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05B65">
        <w:rPr>
          <w:rFonts w:asciiTheme="minorEastAsia" w:hAnsiTheme="minorEastAsia" w:hint="eastAsia"/>
        </w:rPr>
        <w:t>減価償却費の算出</w:t>
      </w:r>
      <w:r>
        <w:rPr>
          <w:rFonts w:asciiTheme="minorEastAsia" w:hAnsiTheme="minorEastAsia" w:hint="eastAsia"/>
        </w:rPr>
        <w:tab/>
        <w:t>： H2</w:t>
      </w:r>
      <w:r w:rsidR="00EC2E8B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年度まで</w:t>
      </w:r>
    </w:p>
    <w:p w:rsidR="008D35CE" w:rsidRPr="00105B65" w:rsidRDefault="008D35CE" w:rsidP="008D35CE">
      <w:pPr>
        <w:tabs>
          <w:tab w:val="left" w:pos="4620"/>
        </w:tabs>
        <w:ind w:leftChars="67" w:left="14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05B65">
        <w:rPr>
          <w:rFonts w:asciiTheme="minorEastAsia" w:hAnsiTheme="minorEastAsia" w:hint="eastAsia"/>
        </w:rPr>
        <w:t>長期前受金の整理</w:t>
      </w:r>
      <w:r>
        <w:rPr>
          <w:rFonts w:asciiTheme="minorEastAsia" w:hAnsiTheme="minorEastAsia" w:hint="eastAsia"/>
        </w:rPr>
        <w:tab/>
        <w:t>： H2</w:t>
      </w:r>
      <w:r w:rsidR="00EC2E8B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年度まで</w:t>
      </w:r>
    </w:p>
    <w:p w:rsidR="008D35CE" w:rsidRPr="008D35CE" w:rsidRDefault="008D35CE" w:rsidP="003E7EC2">
      <w:pPr>
        <w:ind w:leftChars="67" w:left="141" w:firstLineChars="100" w:firstLine="210"/>
        <w:rPr>
          <w:rFonts w:asciiTheme="minorEastAsia" w:hAnsiTheme="minorEastAsia"/>
        </w:rPr>
      </w:pPr>
    </w:p>
    <w:p w:rsidR="0033615B" w:rsidRPr="00D87AF8" w:rsidRDefault="0033615B" w:rsidP="0033615B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87AF8">
        <w:rPr>
          <w:rFonts w:ascii="HG丸ｺﾞｼｯｸM-PRO" w:eastAsia="HG丸ｺﾞｼｯｸM-PRO" w:hAnsi="HG丸ｺﾞｼｯｸM-PRO" w:hint="eastAsia"/>
        </w:rPr>
        <w:t>(</w:t>
      </w:r>
      <w:r w:rsidR="00F6044A">
        <w:rPr>
          <w:rFonts w:ascii="HG丸ｺﾞｼｯｸM-PRO" w:eastAsia="HG丸ｺﾞｼｯｸM-PRO" w:hAnsi="HG丸ｺﾞｼｯｸM-PRO" w:hint="eastAsia"/>
        </w:rPr>
        <w:t>2</w:t>
      </w:r>
      <w:r w:rsidRPr="00D87AF8">
        <w:rPr>
          <w:rFonts w:ascii="HG丸ｺﾞｼｯｸM-PRO" w:eastAsia="HG丸ｺﾞｼｯｸM-PRO" w:hAnsi="HG丸ｺﾞｼｯｸM-PRO" w:hint="eastAsia"/>
        </w:rPr>
        <w:t>)</w:t>
      </w:r>
      <w:r w:rsidR="00F6044A">
        <w:rPr>
          <w:rFonts w:ascii="HG丸ｺﾞｼｯｸM-PRO" w:eastAsia="HG丸ｺﾞｼｯｸM-PRO" w:hAnsi="HG丸ｺﾞｼｯｸM-PRO" w:hint="eastAsia"/>
        </w:rPr>
        <w:t>固定資産調査・評価結果</w:t>
      </w:r>
    </w:p>
    <w:p w:rsidR="00084495" w:rsidRPr="00F6044A" w:rsidRDefault="00F6044A" w:rsidP="00F6044A">
      <w:pPr>
        <w:ind w:leftChars="67" w:left="141" w:firstLineChars="100" w:firstLine="210"/>
        <w:rPr>
          <w:rFonts w:asciiTheme="minorEastAsia" w:hAnsiTheme="minorEastAsia"/>
        </w:rPr>
      </w:pPr>
      <w:r w:rsidRPr="00F6044A">
        <w:rPr>
          <w:rFonts w:asciiTheme="minorEastAsia" w:hAnsiTheme="minorEastAsia" w:hint="eastAsia"/>
        </w:rPr>
        <w:t>平成29年度業務は実施中であるため、平成28年度業務</w:t>
      </w:r>
      <w:r w:rsidR="00455D7F">
        <w:rPr>
          <w:rFonts w:asciiTheme="minorEastAsia" w:hAnsiTheme="minorEastAsia" w:hint="eastAsia"/>
        </w:rPr>
        <w:t>（平成26年度末までに取得した固定資産）</w:t>
      </w:r>
      <w:r>
        <w:rPr>
          <w:rFonts w:asciiTheme="minorEastAsia" w:hAnsiTheme="minorEastAsia" w:hint="eastAsia"/>
        </w:rPr>
        <w:t>における固定資産の状況を示す。</w:t>
      </w:r>
    </w:p>
    <w:p w:rsidR="00F6044A" w:rsidRPr="0033615B" w:rsidRDefault="00F6044A" w:rsidP="00D87AF8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A1200A" w:rsidRDefault="00A1200A">
      <w:pPr>
        <w:sectPr w:rsidR="00A1200A" w:rsidSect="00E42E31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962DFC" w:rsidRDefault="00A1200A">
      <w:r w:rsidRPr="00A1200A">
        <w:rPr>
          <w:rFonts w:hint="eastAsia"/>
        </w:rPr>
        <w:lastRenderedPageBreak/>
        <w:t>平成</w:t>
      </w:r>
      <w:r w:rsidRPr="00A1200A">
        <w:rPr>
          <w:rFonts w:hint="eastAsia"/>
        </w:rPr>
        <w:t>28</w:t>
      </w:r>
      <w:r w:rsidRPr="00A1200A">
        <w:rPr>
          <w:rFonts w:hint="eastAsia"/>
        </w:rPr>
        <w:t>年度</w:t>
      </w:r>
      <w:r>
        <w:rPr>
          <w:rFonts w:hint="eastAsia"/>
        </w:rPr>
        <w:t>末</w:t>
      </w:r>
      <w:r w:rsidRPr="00A1200A">
        <w:rPr>
          <w:rFonts w:hint="eastAsia"/>
        </w:rPr>
        <w:t>固定資産明細書</w:t>
      </w:r>
      <w:r>
        <w:rPr>
          <w:rFonts w:hint="eastAsia"/>
        </w:rPr>
        <w:t>（平成</w:t>
      </w:r>
      <w:r>
        <w:rPr>
          <w:rFonts w:hint="eastAsia"/>
        </w:rPr>
        <w:t>26</w:t>
      </w:r>
      <w:r>
        <w:rPr>
          <w:rFonts w:hint="eastAsia"/>
        </w:rPr>
        <w:t>年度末までの固定資産）</w:t>
      </w:r>
    </w:p>
    <w:p w:rsidR="00A1200A" w:rsidRDefault="00A1200A" w:rsidP="00A1200A">
      <w:pPr>
        <w:jc w:val="left"/>
      </w:pPr>
      <w:r>
        <w:rPr>
          <w:rFonts w:hint="eastAsia"/>
        </w:rPr>
        <w:t>◆全事業〔有形固定資産〕</w:t>
      </w:r>
    </w:p>
    <w:p w:rsidR="00A1200A" w:rsidRDefault="00952842" w:rsidP="00A1200A">
      <w:pPr>
        <w:jc w:val="left"/>
      </w:pPr>
      <w:r w:rsidRPr="00952842">
        <w:drawing>
          <wp:inline distT="0" distB="0" distL="0" distR="0" wp14:anchorId="70C35765" wp14:editId="10FCB608">
            <wp:extent cx="9251950" cy="2616623"/>
            <wp:effectExtent l="0" t="0" r="635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D4" w:rsidRDefault="007012D4" w:rsidP="007012D4">
      <w:pPr>
        <w:spacing w:line="200" w:lineRule="exact"/>
        <w:jc w:val="left"/>
      </w:pPr>
    </w:p>
    <w:p w:rsidR="007012D4" w:rsidRDefault="007012D4" w:rsidP="007012D4">
      <w:pPr>
        <w:jc w:val="left"/>
      </w:pPr>
      <w:r>
        <w:rPr>
          <w:rFonts w:hint="eastAsia"/>
        </w:rPr>
        <w:t>◆全事業〔無形固定資産〕</w:t>
      </w:r>
    </w:p>
    <w:p w:rsidR="00A1200A" w:rsidRPr="007012D4" w:rsidRDefault="00952842" w:rsidP="00A1200A">
      <w:pPr>
        <w:jc w:val="left"/>
      </w:pPr>
      <w:r w:rsidRPr="00952842">
        <w:drawing>
          <wp:inline distT="0" distB="0" distL="0" distR="0">
            <wp:extent cx="5715000" cy="260032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Default="00A1200A" w:rsidP="00A1200A">
      <w:pPr>
        <w:jc w:val="left"/>
      </w:pPr>
      <w:r>
        <w:br w:type="page"/>
      </w:r>
      <w:r>
        <w:rPr>
          <w:rFonts w:hint="eastAsia"/>
        </w:rPr>
        <w:lastRenderedPageBreak/>
        <w:t>◆公共下水道事業〔有形固定資産〕</w:t>
      </w:r>
    </w:p>
    <w:p w:rsidR="00A1200A" w:rsidRDefault="00952842">
      <w:r w:rsidRPr="00952842">
        <w:drawing>
          <wp:inline distT="0" distB="0" distL="0" distR="0" wp14:anchorId="5B32C366" wp14:editId="457F0C2D">
            <wp:extent cx="9251950" cy="2616623"/>
            <wp:effectExtent l="0" t="0" r="635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Default="00A1200A"/>
    <w:p w:rsidR="00A1200A" w:rsidRDefault="00A1200A">
      <w:r>
        <w:rPr>
          <w:rFonts w:hint="eastAsia"/>
        </w:rPr>
        <w:t>◆公共下水道事業〔無形固定資産〕</w:t>
      </w:r>
    </w:p>
    <w:p w:rsidR="00A1200A" w:rsidRDefault="00952842">
      <w:r w:rsidRPr="00952842">
        <w:drawing>
          <wp:inline distT="0" distB="0" distL="0" distR="0">
            <wp:extent cx="5715000" cy="260032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Default="00A1200A">
      <w:r>
        <w:rPr>
          <w:rFonts w:hint="eastAsia"/>
        </w:rPr>
        <w:lastRenderedPageBreak/>
        <w:t>◆</w:t>
      </w:r>
      <w:r w:rsidRPr="00A1200A">
        <w:rPr>
          <w:rFonts w:hint="eastAsia"/>
        </w:rPr>
        <w:t>特定環境保全公共下水道事業</w:t>
      </w:r>
      <w:r>
        <w:rPr>
          <w:rFonts w:hint="eastAsia"/>
        </w:rPr>
        <w:t>〔有形固定資産〕</w:t>
      </w:r>
    </w:p>
    <w:p w:rsidR="00A1200A" w:rsidRDefault="00952842">
      <w:r w:rsidRPr="00952842">
        <w:drawing>
          <wp:inline distT="0" distB="0" distL="0" distR="0" wp14:anchorId="62933FBE" wp14:editId="4601460C">
            <wp:extent cx="9251950" cy="2616623"/>
            <wp:effectExtent l="0" t="0" r="635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Default="00A1200A" w:rsidP="00A1200A"/>
    <w:p w:rsidR="00A1200A" w:rsidRDefault="00A1200A" w:rsidP="00A1200A">
      <w:r>
        <w:rPr>
          <w:rFonts w:hint="eastAsia"/>
        </w:rPr>
        <w:t>◆</w:t>
      </w:r>
      <w:r w:rsidRPr="00A1200A">
        <w:rPr>
          <w:rFonts w:hint="eastAsia"/>
        </w:rPr>
        <w:t>特定環境保全公共下水道事業</w:t>
      </w:r>
      <w:r>
        <w:rPr>
          <w:rFonts w:hint="eastAsia"/>
        </w:rPr>
        <w:t>〔無形固定資産〕</w:t>
      </w:r>
    </w:p>
    <w:p w:rsidR="00A1200A" w:rsidRDefault="00952842">
      <w:r w:rsidRPr="00952842">
        <w:drawing>
          <wp:inline distT="0" distB="0" distL="0" distR="0">
            <wp:extent cx="5715000" cy="2600325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Default="00A1200A">
      <w:r>
        <w:rPr>
          <w:rFonts w:hint="eastAsia"/>
        </w:rPr>
        <w:lastRenderedPageBreak/>
        <w:t>◆</w:t>
      </w:r>
      <w:r w:rsidRPr="00A1200A">
        <w:rPr>
          <w:rFonts w:hint="eastAsia"/>
        </w:rPr>
        <w:t>公共下水道事業（雨水）</w:t>
      </w:r>
      <w:r>
        <w:rPr>
          <w:rFonts w:hint="eastAsia"/>
        </w:rPr>
        <w:t>〔有形固定資産〕</w:t>
      </w:r>
    </w:p>
    <w:p w:rsidR="00A1200A" w:rsidRDefault="00952842">
      <w:r w:rsidRPr="00952842">
        <w:drawing>
          <wp:inline distT="0" distB="0" distL="0" distR="0" wp14:anchorId="6B0286DA" wp14:editId="5AFC3761">
            <wp:extent cx="9251950" cy="2616623"/>
            <wp:effectExtent l="0" t="0" r="635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A1200A" w:rsidRDefault="00A1200A">
      <w:bookmarkStart w:id="0" w:name="_GoBack"/>
      <w:bookmarkEnd w:id="0"/>
    </w:p>
    <w:sectPr w:rsidR="00A1200A" w:rsidRPr="00A1200A" w:rsidSect="00A1200A">
      <w:pgSz w:w="16838" w:h="11906" w:orient="landscape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0" w:rsidRDefault="00740930" w:rsidP="00740930">
      <w:r>
        <w:separator/>
      </w:r>
    </w:p>
  </w:endnote>
  <w:endnote w:type="continuationSeparator" w:id="0">
    <w:p w:rsidR="00740930" w:rsidRDefault="00740930" w:rsidP="0074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0" w:rsidRDefault="00740930" w:rsidP="00740930">
      <w:r>
        <w:separator/>
      </w:r>
    </w:p>
  </w:footnote>
  <w:footnote w:type="continuationSeparator" w:id="0">
    <w:p w:rsidR="00740930" w:rsidRDefault="00740930" w:rsidP="0074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1"/>
    <w:rsid w:val="00003D1A"/>
    <w:rsid w:val="0000714F"/>
    <w:rsid w:val="00017026"/>
    <w:rsid w:val="00017131"/>
    <w:rsid w:val="00022614"/>
    <w:rsid w:val="00033A91"/>
    <w:rsid w:val="000368A1"/>
    <w:rsid w:val="00041E67"/>
    <w:rsid w:val="0004484A"/>
    <w:rsid w:val="000504DE"/>
    <w:rsid w:val="000547A1"/>
    <w:rsid w:val="00055C08"/>
    <w:rsid w:val="00055FCE"/>
    <w:rsid w:val="000560DC"/>
    <w:rsid w:val="00057F7A"/>
    <w:rsid w:val="000600F7"/>
    <w:rsid w:val="00066FAC"/>
    <w:rsid w:val="00070941"/>
    <w:rsid w:val="00084495"/>
    <w:rsid w:val="00085E3F"/>
    <w:rsid w:val="000951E5"/>
    <w:rsid w:val="000A32CF"/>
    <w:rsid w:val="000C1882"/>
    <w:rsid w:val="000C20E9"/>
    <w:rsid w:val="000D43C9"/>
    <w:rsid w:val="000D6363"/>
    <w:rsid w:val="000E6BE1"/>
    <w:rsid w:val="001028EF"/>
    <w:rsid w:val="00103818"/>
    <w:rsid w:val="00105B65"/>
    <w:rsid w:val="00105D4C"/>
    <w:rsid w:val="00110980"/>
    <w:rsid w:val="00113300"/>
    <w:rsid w:val="001157E3"/>
    <w:rsid w:val="0012571D"/>
    <w:rsid w:val="001262BD"/>
    <w:rsid w:val="001300AF"/>
    <w:rsid w:val="00130393"/>
    <w:rsid w:val="00132D35"/>
    <w:rsid w:val="00133BCE"/>
    <w:rsid w:val="00137549"/>
    <w:rsid w:val="00137694"/>
    <w:rsid w:val="00137BAF"/>
    <w:rsid w:val="00141C2C"/>
    <w:rsid w:val="001424D3"/>
    <w:rsid w:val="0014358D"/>
    <w:rsid w:val="00146008"/>
    <w:rsid w:val="0014685A"/>
    <w:rsid w:val="001502DE"/>
    <w:rsid w:val="0015246E"/>
    <w:rsid w:val="001605E9"/>
    <w:rsid w:val="0016348D"/>
    <w:rsid w:val="00163AD2"/>
    <w:rsid w:val="00163D70"/>
    <w:rsid w:val="00171722"/>
    <w:rsid w:val="00176262"/>
    <w:rsid w:val="00176505"/>
    <w:rsid w:val="001800EB"/>
    <w:rsid w:val="00181D72"/>
    <w:rsid w:val="00184AEF"/>
    <w:rsid w:val="001A064A"/>
    <w:rsid w:val="001A07CB"/>
    <w:rsid w:val="001A43FD"/>
    <w:rsid w:val="001A47D0"/>
    <w:rsid w:val="001B02DB"/>
    <w:rsid w:val="001B0D46"/>
    <w:rsid w:val="001C3AD8"/>
    <w:rsid w:val="001C3EA9"/>
    <w:rsid w:val="001C4511"/>
    <w:rsid w:val="001D0B4B"/>
    <w:rsid w:val="001D65DC"/>
    <w:rsid w:val="001D7F14"/>
    <w:rsid w:val="001E1472"/>
    <w:rsid w:val="001E19ED"/>
    <w:rsid w:val="001E7707"/>
    <w:rsid w:val="001F0868"/>
    <w:rsid w:val="001F409E"/>
    <w:rsid w:val="00200C12"/>
    <w:rsid w:val="002032F4"/>
    <w:rsid w:val="00204098"/>
    <w:rsid w:val="002106E9"/>
    <w:rsid w:val="0021242A"/>
    <w:rsid w:val="002132D8"/>
    <w:rsid w:val="002205DD"/>
    <w:rsid w:val="0022526E"/>
    <w:rsid w:val="002262B7"/>
    <w:rsid w:val="0023066B"/>
    <w:rsid w:val="00237C7E"/>
    <w:rsid w:val="00240412"/>
    <w:rsid w:val="00241FD2"/>
    <w:rsid w:val="0024323F"/>
    <w:rsid w:val="00245E72"/>
    <w:rsid w:val="00247973"/>
    <w:rsid w:val="00247F0F"/>
    <w:rsid w:val="002518C0"/>
    <w:rsid w:val="002528A2"/>
    <w:rsid w:val="0025350A"/>
    <w:rsid w:val="00263AB9"/>
    <w:rsid w:val="00274E59"/>
    <w:rsid w:val="0027538B"/>
    <w:rsid w:val="00277FC0"/>
    <w:rsid w:val="0028114B"/>
    <w:rsid w:val="00281DF6"/>
    <w:rsid w:val="0028317C"/>
    <w:rsid w:val="00293BC6"/>
    <w:rsid w:val="002946ED"/>
    <w:rsid w:val="002A566F"/>
    <w:rsid w:val="002A705F"/>
    <w:rsid w:val="002B0541"/>
    <w:rsid w:val="002B50DF"/>
    <w:rsid w:val="002B65B6"/>
    <w:rsid w:val="002C1843"/>
    <w:rsid w:val="002E1E75"/>
    <w:rsid w:val="002E4A87"/>
    <w:rsid w:val="002E6B38"/>
    <w:rsid w:val="002F186F"/>
    <w:rsid w:val="002F7641"/>
    <w:rsid w:val="003041F0"/>
    <w:rsid w:val="0031407C"/>
    <w:rsid w:val="003168A6"/>
    <w:rsid w:val="00316A89"/>
    <w:rsid w:val="003262B6"/>
    <w:rsid w:val="0033615B"/>
    <w:rsid w:val="00337CCE"/>
    <w:rsid w:val="003454AD"/>
    <w:rsid w:val="00350DA5"/>
    <w:rsid w:val="00353F39"/>
    <w:rsid w:val="0035741E"/>
    <w:rsid w:val="00362340"/>
    <w:rsid w:val="00363435"/>
    <w:rsid w:val="00366631"/>
    <w:rsid w:val="003666D2"/>
    <w:rsid w:val="00367CD2"/>
    <w:rsid w:val="00370FB1"/>
    <w:rsid w:val="00381341"/>
    <w:rsid w:val="003858DE"/>
    <w:rsid w:val="00390E69"/>
    <w:rsid w:val="0039337C"/>
    <w:rsid w:val="003A0944"/>
    <w:rsid w:val="003A1F8B"/>
    <w:rsid w:val="003A23CC"/>
    <w:rsid w:val="003A536D"/>
    <w:rsid w:val="003A78D8"/>
    <w:rsid w:val="003B4B14"/>
    <w:rsid w:val="003B4C32"/>
    <w:rsid w:val="003C3934"/>
    <w:rsid w:val="003D055A"/>
    <w:rsid w:val="003E106F"/>
    <w:rsid w:val="003E7EC2"/>
    <w:rsid w:val="00402121"/>
    <w:rsid w:val="004026E2"/>
    <w:rsid w:val="00404B67"/>
    <w:rsid w:val="00407CAF"/>
    <w:rsid w:val="004216F4"/>
    <w:rsid w:val="00421B02"/>
    <w:rsid w:val="0042609A"/>
    <w:rsid w:val="00432339"/>
    <w:rsid w:val="00441BDA"/>
    <w:rsid w:val="00446654"/>
    <w:rsid w:val="004509E5"/>
    <w:rsid w:val="00455D7F"/>
    <w:rsid w:val="00475208"/>
    <w:rsid w:val="00480EB3"/>
    <w:rsid w:val="004959A5"/>
    <w:rsid w:val="004A476F"/>
    <w:rsid w:val="004A53AF"/>
    <w:rsid w:val="004B3799"/>
    <w:rsid w:val="004B5E41"/>
    <w:rsid w:val="004D27D6"/>
    <w:rsid w:val="004D56C3"/>
    <w:rsid w:val="004D743B"/>
    <w:rsid w:val="004E6BFD"/>
    <w:rsid w:val="004F01C3"/>
    <w:rsid w:val="004F0E07"/>
    <w:rsid w:val="00505C2D"/>
    <w:rsid w:val="00514184"/>
    <w:rsid w:val="00516A2A"/>
    <w:rsid w:val="00517367"/>
    <w:rsid w:val="00517D6A"/>
    <w:rsid w:val="00521412"/>
    <w:rsid w:val="00523E58"/>
    <w:rsid w:val="00546C98"/>
    <w:rsid w:val="00547A6C"/>
    <w:rsid w:val="00553EE5"/>
    <w:rsid w:val="00557294"/>
    <w:rsid w:val="00560D01"/>
    <w:rsid w:val="0056642C"/>
    <w:rsid w:val="00567C8E"/>
    <w:rsid w:val="005737DD"/>
    <w:rsid w:val="005743BE"/>
    <w:rsid w:val="005748B3"/>
    <w:rsid w:val="00594E0B"/>
    <w:rsid w:val="00596093"/>
    <w:rsid w:val="005A254B"/>
    <w:rsid w:val="005A5385"/>
    <w:rsid w:val="005B1F56"/>
    <w:rsid w:val="005B36E3"/>
    <w:rsid w:val="005B5DBB"/>
    <w:rsid w:val="005C7273"/>
    <w:rsid w:val="005D0DA4"/>
    <w:rsid w:val="005D478A"/>
    <w:rsid w:val="005D7FCD"/>
    <w:rsid w:val="005F0202"/>
    <w:rsid w:val="005F1F04"/>
    <w:rsid w:val="005F2C4A"/>
    <w:rsid w:val="00611602"/>
    <w:rsid w:val="0061374C"/>
    <w:rsid w:val="006164B1"/>
    <w:rsid w:val="00624592"/>
    <w:rsid w:val="006273D9"/>
    <w:rsid w:val="006304BF"/>
    <w:rsid w:val="00635B4B"/>
    <w:rsid w:val="00641A69"/>
    <w:rsid w:val="00650343"/>
    <w:rsid w:val="006559E3"/>
    <w:rsid w:val="00656D26"/>
    <w:rsid w:val="00661CA1"/>
    <w:rsid w:val="00661F4F"/>
    <w:rsid w:val="0066461D"/>
    <w:rsid w:val="00670893"/>
    <w:rsid w:val="0067116E"/>
    <w:rsid w:val="00671B03"/>
    <w:rsid w:val="00671B53"/>
    <w:rsid w:val="00671F84"/>
    <w:rsid w:val="006848C6"/>
    <w:rsid w:val="00687052"/>
    <w:rsid w:val="00692EA1"/>
    <w:rsid w:val="006A5EDB"/>
    <w:rsid w:val="006A6B04"/>
    <w:rsid w:val="006A7C7F"/>
    <w:rsid w:val="006B14C6"/>
    <w:rsid w:val="006B46E8"/>
    <w:rsid w:val="006B5F71"/>
    <w:rsid w:val="006C398E"/>
    <w:rsid w:val="006C43E4"/>
    <w:rsid w:val="006D0572"/>
    <w:rsid w:val="006D1584"/>
    <w:rsid w:val="006D5AD0"/>
    <w:rsid w:val="006E77DC"/>
    <w:rsid w:val="006F27A0"/>
    <w:rsid w:val="006F543E"/>
    <w:rsid w:val="006F54CC"/>
    <w:rsid w:val="006F612E"/>
    <w:rsid w:val="006F6BD4"/>
    <w:rsid w:val="007012D4"/>
    <w:rsid w:val="0070543B"/>
    <w:rsid w:val="00710145"/>
    <w:rsid w:val="0071144E"/>
    <w:rsid w:val="007135FB"/>
    <w:rsid w:val="00717441"/>
    <w:rsid w:val="00723DA8"/>
    <w:rsid w:val="007254E7"/>
    <w:rsid w:val="00740930"/>
    <w:rsid w:val="00741901"/>
    <w:rsid w:val="00747BB7"/>
    <w:rsid w:val="00747CD9"/>
    <w:rsid w:val="00750DA4"/>
    <w:rsid w:val="00754908"/>
    <w:rsid w:val="0077173B"/>
    <w:rsid w:val="00771B08"/>
    <w:rsid w:val="0077221B"/>
    <w:rsid w:val="00772D2E"/>
    <w:rsid w:val="007779A9"/>
    <w:rsid w:val="00777F6E"/>
    <w:rsid w:val="007802B0"/>
    <w:rsid w:val="00780A7C"/>
    <w:rsid w:val="00780E63"/>
    <w:rsid w:val="00787C2D"/>
    <w:rsid w:val="007B2403"/>
    <w:rsid w:val="007C3E57"/>
    <w:rsid w:val="007C41AF"/>
    <w:rsid w:val="007C440C"/>
    <w:rsid w:val="007C6118"/>
    <w:rsid w:val="007C61E0"/>
    <w:rsid w:val="007C6363"/>
    <w:rsid w:val="007D1E97"/>
    <w:rsid w:val="007E27D4"/>
    <w:rsid w:val="007E30DB"/>
    <w:rsid w:val="007E3936"/>
    <w:rsid w:val="007E6AF0"/>
    <w:rsid w:val="007E6C83"/>
    <w:rsid w:val="007F0839"/>
    <w:rsid w:val="007F0FCC"/>
    <w:rsid w:val="007F5F0D"/>
    <w:rsid w:val="008027EF"/>
    <w:rsid w:val="0080563D"/>
    <w:rsid w:val="00831DE6"/>
    <w:rsid w:val="0083322F"/>
    <w:rsid w:val="0083794B"/>
    <w:rsid w:val="00842B14"/>
    <w:rsid w:val="00850B54"/>
    <w:rsid w:val="0085317A"/>
    <w:rsid w:val="00856D1A"/>
    <w:rsid w:val="00860757"/>
    <w:rsid w:val="00860C73"/>
    <w:rsid w:val="00861885"/>
    <w:rsid w:val="00862905"/>
    <w:rsid w:val="0086330B"/>
    <w:rsid w:val="008659D1"/>
    <w:rsid w:val="00872D11"/>
    <w:rsid w:val="008757FA"/>
    <w:rsid w:val="00885707"/>
    <w:rsid w:val="008861D6"/>
    <w:rsid w:val="00886472"/>
    <w:rsid w:val="0088781C"/>
    <w:rsid w:val="00896BEC"/>
    <w:rsid w:val="008A11EC"/>
    <w:rsid w:val="008A24E8"/>
    <w:rsid w:val="008B17C0"/>
    <w:rsid w:val="008B457A"/>
    <w:rsid w:val="008B4582"/>
    <w:rsid w:val="008C1BFE"/>
    <w:rsid w:val="008C2CCE"/>
    <w:rsid w:val="008C6790"/>
    <w:rsid w:val="008C6EEA"/>
    <w:rsid w:val="008C7600"/>
    <w:rsid w:val="008D02B3"/>
    <w:rsid w:val="008D2932"/>
    <w:rsid w:val="008D35CE"/>
    <w:rsid w:val="008D49DD"/>
    <w:rsid w:val="008D7A9F"/>
    <w:rsid w:val="008D7E6B"/>
    <w:rsid w:val="008E4EB2"/>
    <w:rsid w:val="008E7768"/>
    <w:rsid w:val="008F1981"/>
    <w:rsid w:val="008F6E9D"/>
    <w:rsid w:val="008F79F9"/>
    <w:rsid w:val="0090063E"/>
    <w:rsid w:val="00900876"/>
    <w:rsid w:val="009009DB"/>
    <w:rsid w:val="00903B05"/>
    <w:rsid w:val="00904420"/>
    <w:rsid w:val="00910D06"/>
    <w:rsid w:val="00916516"/>
    <w:rsid w:val="0092470E"/>
    <w:rsid w:val="00927E92"/>
    <w:rsid w:val="009358AA"/>
    <w:rsid w:val="0093730C"/>
    <w:rsid w:val="009376C7"/>
    <w:rsid w:val="00943F44"/>
    <w:rsid w:val="009478CD"/>
    <w:rsid w:val="00952842"/>
    <w:rsid w:val="00953B53"/>
    <w:rsid w:val="00956E9E"/>
    <w:rsid w:val="009573FF"/>
    <w:rsid w:val="00962181"/>
    <w:rsid w:val="00962DFC"/>
    <w:rsid w:val="009641DD"/>
    <w:rsid w:val="00972656"/>
    <w:rsid w:val="00986E0B"/>
    <w:rsid w:val="00987DED"/>
    <w:rsid w:val="0099191E"/>
    <w:rsid w:val="009965A0"/>
    <w:rsid w:val="00996959"/>
    <w:rsid w:val="009B0ACC"/>
    <w:rsid w:val="009C1A83"/>
    <w:rsid w:val="009D17F4"/>
    <w:rsid w:val="009D3348"/>
    <w:rsid w:val="009E0980"/>
    <w:rsid w:val="009E1B44"/>
    <w:rsid w:val="009E1C8B"/>
    <w:rsid w:val="009F4E80"/>
    <w:rsid w:val="009F7ACB"/>
    <w:rsid w:val="00A01249"/>
    <w:rsid w:val="00A04AF7"/>
    <w:rsid w:val="00A10232"/>
    <w:rsid w:val="00A1062C"/>
    <w:rsid w:val="00A11FBF"/>
    <w:rsid w:val="00A1200A"/>
    <w:rsid w:val="00A15F91"/>
    <w:rsid w:val="00A16321"/>
    <w:rsid w:val="00A16BEB"/>
    <w:rsid w:val="00A225C8"/>
    <w:rsid w:val="00A2436E"/>
    <w:rsid w:val="00A30DD0"/>
    <w:rsid w:val="00A32C4C"/>
    <w:rsid w:val="00A3473B"/>
    <w:rsid w:val="00A34D97"/>
    <w:rsid w:val="00A351FB"/>
    <w:rsid w:val="00A43199"/>
    <w:rsid w:val="00A5042E"/>
    <w:rsid w:val="00A514A5"/>
    <w:rsid w:val="00A53D21"/>
    <w:rsid w:val="00A605CD"/>
    <w:rsid w:val="00A65C07"/>
    <w:rsid w:val="00A70EFA"/>
    <w:rsid w:val="00A81D96"/>
    <w:rsid w:val="00A82F50"/>
    <w:rsid w:val="00A83B4A"/>
    <w:rsid w:val="00A870E3"/>
    <w:rsid w:val="00A87BDD"/>
    <w:rsid w:val="00A92544"/>
    <w:rsid w:val="00A9280B"/>
    <w:rsid w:val="00A93456"/>
    <w:rsid w:val="00A94CE0"/>
    <w:rsid w:val="00A95066"/>
    <w:rsid w:val="00AA020E"/>
    <w:rsid w:val="00AA4881"/>
    <w:rsid w:val="00AA5F3D"/>
    <w:rsid w:val="00AA7949"/>
    <w:rsid w:val="00AB748A"/>
    <w:rsid w:val="00AC20FD"/>
    <w:rsid w:val="00AD0622"/>
    <w:rsid w:val="00AD67F0"/>
    <w:rsid w:val="00AE0C4D"/>
    <w:rsid w:val="00AE76B9"/>
    <w:rsid w:val="00AF0EDF"/>
    <w:rsid w:val="00AF53F7"/>
    <w:rsid w:val="00AF77F6"/>
    <w:rsid w:val="00B007B5"/>
    <w:rsid w:val="00B03482"/>
    <w:rsid w:val="00B04EEF"/>
    <w:rsid w:val="00B05EFB"/>
    <w:rsid w:val="00B13254"/>
    <w:rsid w:val="00B14419"/>
    <w:rsid w:val="00B14853"/>
    <w:rsid w:val="00B17434"/>
    <w:rsid w:val="00B22E91"/>
    <w:rsid w:val="00B255FC"/>
    <w:rsid w:val="00B3525B"/>
    <w:rsid w:val="00B41847"/>
    <w:rsid w:val="00B42183"/>
    <w:rsid w:val="00B45E59"/>
    <w:rsid w:val="00B563E0"/>
    <w:rsid w:val="00B566D9"/>
    <w:rsid w:val="00B63469"/>
    <w:rsid w:val="00B63E14"/>
    <w:rsid w:val="00B63FC8"/>
    <w:rsid w:val="00B64785"/>
    <w:rsid w:val="00B662A7"/>
    <w:rsid w:val="00B7259A"/>
    <w:rsid w:val="00B72CBD"/>
    <w:rsid w:val="00B80791"/>
    <w:rsid w:val="00B8451A"/>
    <w:rsid w:val="00B9111A"/>
    <w:rsid w:val="00B91DC0"/>
    <w:rsid w:val="00B926A1"/>
    <w:rsid w:val="00B9653E"/>
    <w:rsid w:val="00BA2C33"/>
    <w:rsid w:val="00BA4E41"/>
    <w:rsid w:val="00BB1E38"/>
    <w:rsid w:val="00BC0CBF"/>
    <w:rsid w:val="00BC5088"/>
    <w:rsid w:val="00BD057E"/>
    <w:rsid w:val="00BD3E34"/>
    <w:rsid w:val="00BE3F10"/>
    <w:rsid w:val="00BE5652"/>
    <w:rsid w:val="00BF0DA6"/>
    <w:rsid w:val="00C00082"/>
    <w:rsid w:val="00C003CF"/>
    <w:rsid w:val="00C23EF9"/>
    <w:rsid w:val="00C27544"/>
    <w:rsid w:val="00C3002D"/>
    <w:rsid w:val="00C32441"/>
    <w:rsid w:val="00C3259D"/>
    <w:rsid w:val="00C33B25"/>
    <w:rsid w:val="00C349D0"/>
    <w:rsid w:val="00C402DB"/>
    <w:rsid w:val="00C45DCE"/>
    <w:rsid w:val="00C55E05"/>
    <w:rsid w:val="00C569B2"/>
    <w:rsid w:val="00C60B59"/>
    <w:rsid w:val="00C634F5"/>
    <w:rsid w:val="00C72E46"/>
    <w:rsid w:val="00C8670C"/>
    <w:rsid w:val="00C86B27"/>
    <w:rsid w:val="00C94482"/>
    <w:rsid w:val="00C95B8C"/>
    <w:rsid w:val="00CA30D0"/>
    <w:rsid w:val="00CB0489"/>
    <w:rsid w:val="00CB4AAA"/>
    <w:rsid w:val="00CB7185"/>
    <w:rsid w:val="00CC03AA"/>
    <w:rsid w:val="00CC09EE"/>
    <w:rsid w:val="00CC2AA2"/>
    <w:rsid w:val="00CC403C"/>
    <w:rsid w:val="00CD1FB0"/>
    <w:rsid w:val="00CD4821"/>
    <w:rsid w:val="00CE0277"/>
    <w:rsid w:val="00CE5DD4"/>
    <w:rsid w:val="00D01D8B"/>
    <w:rsid w:val="00D06951"/>
    <w:rsid w:val="00D07799"/>
    <w:rsid w:val="00D1205C"/>
    <w:rsid w:val="00D16007"/>
    <w:rsid w:val="00D1676D"/>
    <w:rsid w:val="00D202E8"/>
    <w:rsid w:val="00D20E7D"/>
    <w:rsid w:val="00D24B73"/>
    <w:rsid w:val="00D26BA9"/>
    <w:rsid w:val="00D301EF"/>
    <w:rsid w:val="00D304C7"/>
    <w:rsid w:val="00D40630"/>
    <w:rsid w:val="00D45292"/>
    <w:rsid w:val="00D51719"/>
    <w:rsid w:val="00D60656"/>
    <w:rsid w:val="00D613C4"/>
    <w:rsid w:val="00D62F69"/>
    <w:rsid w:val="00D6518F"/>
    <w:rsid w:val="00D65F17"/>
    <w:rsid w:val="00D72A2B"/>
    <w:rsid w:val="00D730DB"/>
    <w:rsid w:val="00D74FA5"/>
    <w:rsid w:val="00D77A6D"/>
    <w:rsid w:val="00D87AF8"/>
    <w:rsid w:val="00D919D3"/>
    <w:rsid w:val="00D92A6C"/>
    <w:rsid w:val="00DA140E"/>
    <w:rsid w:val="00DB2A92"/>
    <w:rsid w:val="00DC248D"/>
    <w:rsid w:val="00DC49DB"/>
    <w:rsid w:val="00DC732D"/>
    <w:rsid w:val="00DD11B8"/>
    <w:rsid w:val="00DD6A3A"/>
    <w:rsid w:val="00DE0543"/>
    <w:rsid w:val="00DF3857"/>
    <w:rsid w:val="00DF5C5E"/>
    <w:rsid w:val="00DF7126"/>
    <w:rsid w:val="00E016A4"/>
    <w:rsid w:val="00E02546"/>
    <w:rsid w:val="00E05629"/>
    <w:rsid w:val="00E06693"/>
    <w:rsid w:val="00E069CF"/>
    <w:rsid w:val="00E0790B"/>
    <w:rsid w:val="00E1123F"/>
    <w:rsid w:val="00E131E7"/>
    <w:rsid w:val="00E1391F"/>
    <w:rsid w:val="00E2204F"/>
    <w:rsid w:val="00E23874"/>
    <w:rsid w:val="00E267E5"/>
    <w:rsid w:val="00E32C71"/>
    <w:rsid w:val="00E33D36"/>
    <w:rsid w:val="00E3643B"/>
    <w:rsid w:val="00E42E31"/>
    <w:rsid w:val="00E44663"/>
    <w:rsid w:val="00E446E3"/>
    <w:rsid w:val="00E47418"/>
    <w:rsid w:val="00E50D23"/>
    <w:rsid w:val="00E5304F"/>
    <w:rsid w:val="00E5354E"/>
    <w:rsid w:val="00E721C0"/>
    <w:rsid w:val="00E726A0"/>
    <w:rsid w:val="00E7557C"/>
    <w:rsid w:val="00E82F40"/>
    <w:rsid w:val="00E8439A"/>
    <w:rsid w:val="00EA3A13"/>
    <w:rsid w:val="00EA4FF1"/>
    <w:rsid w:val="00EA537C"/>
    <w:rsid w:val="00EA5667"/>
    <w:rsid w:val="00EB0940"/>
    <w:rsid w:val="00EC2E8B"/>
    <w:rsid w:val="00ED02F6"/>
    <w:rsid w:val="00ED6BE1"/>
    <w:rsid w:val="00EE27BE"/>
    <w:rsid w:val="00EE3CD5"/>
    <w:rsid w:val="00EE3ED7"/>
    <w:rsid w:val="00EE6599"/>
    <w:rsid w:val="00EF0923"/>
    <w:rsid w:val="00EF13B6"/>
    <w:rsid w:val="00F04DAB"/>
    <w:rsid w:val="00F154C3"/>
    <w:rsid w:val="00F17BAD"/>
    <w:rsid w:val="00F24F27"/>
    <w:rsid w:val="00F25F84"/>
    <w:rsid w:val="00F33D4F"/>
    <w:rsid w:val="00F3486A"/>
    <w:rsid w:val="00F34C94"/>
    <w:rsid w:val="00F401C7"/>
    <w:rsid w:val="00F41ADE"/>
    <w:rsid w:val="00F45248"/>
    <w:rsid w:val="00F45FC1"/>
    <w:rsid w:val="00F513DE"/>
    <w:rsid w:val="00F5276B"/>
    <w:rsid w:val="00F54E29"/>
    <w:rsid w:val="00F6044A"/>
    <w:rsid w:val="00F61D1E"/>
    <w:rsid w:val="00F63888"/>
    <w:rsid w:val="00F63A2A"/>
    <w:rsid w:val="00F6630D"/>
    <w:rsid w:val="00F7305B"/>
    <w:rsid w:val="00F75707"/>
    <w:rsid w:val="00F76CA9"/>
    <w:rsid w:val="00F82250"/>
    <w:rsid w:val="00F85690"/>
    <w:rsid w:val="00F8749A"/>
    <w:rsid w:val="00F921F1"/>
    <w:rsid w:val="00F92851"/>
    <w:rsid w:val="00F92F69"/>
    <w:rsid w:val="00FA0045"/>
    <w:rsid w:val="00FA240D"/>
    <w:rsid w:val="00FA2A2C"/>
    <w:rsid w:val="00FA426A"/>
    <w:rsid w:val="00FA53FC"/>
    <w:rsid w:val="00FA6194"/>
    <w:rsid w:val="00FB0619"/>
    <w:rsid w:val="00FB1EBA"/>
    <w:rsid w:val="00FB43C9"/>
    <w:rsid w:val="00FB4A26"/>
    <w:rsid w:val="00FC3832"/>
    <w:rsid w:val="00FC43E0"/>
    <w:rsid w:val="00FD01B4"/>
    <w:rsid w:val="00FD5863"/>
    <w:rsid w:val="00FE056D"/>
    <w:rsid w:val="00FE1D00"/>
    <w:rsid w:val="00FE250E"/>
    <w:rsid w:val="00FE2E77"/>
    <w:rsid w:val="00FE4C12"/>
    <w:rsid w:val="00FE519B"/>
    <w:rsid w:val="00FF1B5D"/>
    <w:rsid w:val="00FF446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5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5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C8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930"/>
  </w:style>
  <w:style w:type="paragraph" w:styleId="a8">
    <w:name w:val="footer"/>
    <w:basedOn w:val="a"/>
    <w:link w:val="a9"/>
    <w:uiPriority w:val="99"/>
    <w:unhideWhenUsed/>
    <w:rsid w:val="00740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5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5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C8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930"/>
  </w:style>
  <w:style w:type="paragraph" w:styleId="a8">
    <w:name w:val="footer"/>
    <w:basedOn w:val="a"/>
    <w:link w:val="a9"/>
    <w:uiPriority w:val="99"/>
    <w:unhideWhenUsed/>
    <w:rsid w:val="00740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田丸 和章</dc:creator>
  <cp:lastModifiedBy>田丸 和章</cp:lastModifiedBy>
  <cp:revision>3</cp:revision>
  <cp:lastPrinted>2018-02-05T11:55:00Z</cp:lastPrinted>
  <dcterms:created xsi:type="dcterms:W3CDTF">2018-02-08T07:15:00Z</dcterms:created>
  <dcterms:modified xsi:type="dcterms:W3CDTF">2018-02-08T07:20:00Z</dcterms:modified>
</cp:coreProperties>
</file>