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FE8" w:rsidRPr="0016786F" w:rsidRDefault="001761EF" w:rsidP="008C29C3">
      <w:pPr>
        <w:wordWrap w:val="0"/>
        <w:ind w:firstLineChars="100" w:firstLine="210"/>
        <w:rPr>
          <w:kern w:val="2"/>
          <w:sz w:val="21"/>
        </w:rPr>
      </w:pPr>
      <w:r w:rsidRPr="0016786F">
        <w:rPr>
          <w:rFonts w:hint="eastAsia"/>
          <w:kern w:val="2"/>
          <w:sz w:val="21"/>
        </w:rPr>
        <w:t>様式第</w:t>
      </w:r>
      <w:r w:rsidR="004A18C5">
        <w:rPr>
          <w:rFonts w:hint="eastAsia"/>
          <w:kern w:val="2"/>
          <w:sz w:val="21"/>
        </w:rPr>
        <w:t>3</w:t>
      </w:r>
      <w:r w:rsidRPr="0016786F">
        <w:rPr>
          <w:rFonts w:hint="eastAsia"/>
          <w:kern w:val="2"/>
          <w:sz w:val="21"/>
        </w:rPr>
        <w:t>号</w:t>
      </w:r>
      <w:r w:rsidR="004A18C5">
        <w:rPr>
          <w:rFonts w:hint="eastAsia"/>
          <w:kern w:val="2"/>
          <w:sz w:val="21"/>
        </w:rPr>
        <w:t>(</w:t>
      </w:r>
      <w:r w:rsidRPr="0016786F">
        <w:rPr>
          <w:rFonts w:hint="eastAsia"/>
          <w:kern w:val="2"/>
          <w:sz w:val="21"/>
        </w:rPr>
        <w:t>第</w:t>
      </w:r>
      <w:r w:rsidR="004A18C5">
        <w:rPr>
          <w:rFonts w:hint="eastAsia"/>
          <w:kern w:val="2"/>
          <w:sz w:val="21"/>
        </w:rPr>
        <w:t>6</w:t>
      </w:r>
      <w:r w:rsidRPr="0016786F">
        <w:rPr>
          <w:rFonts w:hint="eastAsia"/>
          <w:kern w:val="2"/>
          <w:sz w:val="21"/>
        </w:rPr>
        <w:t>条、第</w:t>
      </w:r>
      <w:r w:rsidR="004A18C5">
        <w:rPr>
          <w:rFonts w:hint="eastAsia"/>
          <w:kern w:val="2"/>
          <w:sz w:val="21"/>
        </w:rPr>
        <w:t>9</w:t>
      </w:r>
      <w:r w:rsidRPr="0016786F">
        <w:rPr>
          <w:rFonts w:hint="eastAsia"/>
          <w:kern w:val="2"/>
          <w:sz w:val="21"/>
        </w:rPr>
        <w:t>条、第</w:t>
      </w:r>
      <w:r w:rsidRPr="0016786F">
        <w:rPr>
          <w:kern w:val="2"/>
          <w:sz w:val="21"/>
        </w:rPr>
        <w:t>14</w:t>
      </w:r>
      <w:r w:rsidRPr="0016786F">
        <w:rPr>
          <w:rFonts w:hint="eastAsia"/>
          <w:kern w:val="2"/>
          <w:sz w:val="21"/>
        </w:rPr>
        <w:t>条</w:t>
      </w:r>
      <w:r w:rsidR="00A02FE8" w:rsidRPr="0016786F">
        <w:rPr>
          <w:rFonts w:hint="eastAsia"/>
          <w:kern w:val="2"/>
          <w:sz w:val="21"/>
        </w:rPr>
        <w:t>関係</w:t>
      </w:r>
      <w:r w:rsidR="004A18C5">
        <w:rPr>
          <w:rFonts w:hint="eastAsia"/>
          <w:kern w:val="2"/>
          <w:sz w:val="21"/>
        </w:rPr>
        <w:t>)</w:t>
      </w:r>
    </w:p>
    <w:p w:rsidR="00A02FE8" w:rsidRPr="00D63B1B" w:rsidRDefault="00A02FE8" w:rsidP="009166FC">
      <w:pPr>
        <w:autoSpaceDN w:val="0"/>
        <w:rPr>
          <w:sz w:val="21"/>
          <w:szCs w:val="21"/>
        </w:rPr>
      </w:pPr>
    </w:p>
    <w:p w:rsidR="00A02FE8" w:rsidRPr="00D63B1B" w:rsidRDefault="004A18C5" w:rsidP="009166FC">
      <w:pPr>
        <w:autoSpaceDN w:val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土砂等による</w:t>
      </w:r>
      <w:r w:rsidR="00BB56C2">
        <w:rPr>
          <w:rFonts w:hint="eastAsia"/>
          <w:sz w:val="21"/>
          <w:szCs w:val="21"/>
        </w:rPr>
        <w:t>土地の</w:t>
      </w:r>
      <w:r w:rsidR="00D63B1B">
        <w:rPr>
          <w:rFonts w:hint="eastAsia"/>
          <w:sz w:val="21"/>
          <w:szCs w:val="21"/>
        </w:rPr>
        <w:t>埋立て等の施工に要する経費に係る</w:t>
      </w:r>
      <w:r w:rsidR="00A02FE8" w:rsidRPr="00D63B1B">
        <w:rPr>
          <w:rFonts w:hint="eastAsia"/>
          <w:sz w:val="21"/>
          <w:szCs w:val="21"/>
        </w:rPr>
        <w:t>資金調達計画書</w:t>
      </w:r>
    </w:p>
    <w:p w:rsidR="00A02FE8" w:rsidRPr="00D63B1B" w:rsidRDefault="00A02FE8" w:rsidP="009166FC">
      <w:pPr>
        <w:autoSpaceDN w:val="0"/>
        <w:jc w:val="center"/>
        <w:rPr>
          <w:sz w:val="21"/>
          <w:szCs w:val="21"/>
        </w:rPr>
      </w:pPr>
    </w:p>
    <w:tbl>
      <w:tblPr>
        <w:tblW w:w="8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4"/>
        <w:gridCol w:w="635"/>
        <w:gridCol w:w="2599"/>
        <w:gridCol w:w="1493"/>
        <w:gridCol w:w="486"/>
        <w:gridCol w:w="1256"/>
        <w:gridCol w:w="1742"/>
      </w:tblGrid>
      <w:tr w:rsidR="00A02FE8" w:rsidRPr="00D63B1B" w:rsidTr="00A02FE8">
        <w:trPr>
          <w:trHeight w:val="321"/>
        </w:trPr>
        <w:tc>
          <w:tcPr>
            <w:tcW w:w="475" w:type="dxa"/>
            <w:vMerge w:val="restart"/>
            <w:textDirection w:val="tbRlV"/>
            <w:hideMark/>
          </w:tcPr>
          <w:p w:rsidR="00A02FE8" w:rsidRPr="00D63B1B" w:rsidRDefault="008C29C3" w:rsidP="00BB56C2">
            <w:pPr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土砂等による</w:t>
            </w:r>
            <w:r w:rsidR="00BB56C2">
              <w:rPr>
                <w:rFonts w:hint="eastAsia"/>
                <w:sz w:val="21"/>
                <w:szCs w:val="21"/>
              </w:rPr>
              <w:t>土地の埋立て</w:t>
            </w:r>
            <w:r w:rsidR="00A02FE8" w:rsidRPr="00BB56C2">
              <w:rPr>
                <w:rFonts w:hint="eastAsia"/>
                <w:sz w:val="21"/>
                <w:szCs w:val="21"/>
              </w:rPr>
              <w:t>等の施工に要する経費</w:t>
            </w:r>
          </w:p>
        </w:tc>
        <w:tc>
          <w:tcPr>
            <w:tcW w:w="3237" w:type="dxa"/>
            <w:gridSpan w:val="2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項　　　目</w:t>
            </w:r>
          </w:p>
        </w:tc>
        <w:tc>
          <w:tcPr>
            <w:tcW w:w="1494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数　量</w:t>
            </w:r>
          </w:p>
        </w:tc>
        <w:tc>
          <w:tcPr>
            <w:tcW w:w="1743" w:type="dxa"/>
            <w:gridSpan w:val="2"/>
            <w:vAlign w:val="center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単価</w:t>
            </w:r>
            <w:r w:rsidR="004A18C5"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千円</w:t>
            </w:r>
            <w:r w:rsidR="004A18C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743" w:type="dxa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金額</w:t>
            </w:r>
            <w:r w:rsidR="004A18C5"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千円</w:t>
            </w:r>
            <w:r w:rsidR="004A18C5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A02FE8" w:rsidRPr="00D63B1B" w:rsidTr="00A02FE8">
        <w:trPr>
          <w:trHeight w:val="245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6474" w:type="dxa"/>
            <w:gridSpan w:val="5"/>
            <w:tcBorders>
              <w:bottom w:val="nil"/>
            </w:tcBorders>
            <w:vAlign w:val="center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防災のための施設の設置工事に要する経費</w:t>
            </w:r>
          </w:p>
        </w:tc>
        <w:tc>
          <w:tcPr>
            <w:tcW w:w="1743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636" w:type="dxa"/>
            <w:vMerge w:val="restart"/>
            <w:tcBorders>
              <w:top w:val="nil"/>
            </w:tcBorders>
            <w:textDirection w:val="tbRlV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601" w:type="dxa"/>
            <w:tcBorders>
              <w:bottom w:val="dashSmallGap" w:sz="4" w:space="0" w:color="auto"/>
            </w:tcBorders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仮設工</w:t>
            </w:r>
            <w:r w:rsidR="004A18C5">
              <w:rPr>
                <w:rFonts w:hint="eastAsia"/>
                <w:sz w:val="21"/>
                <w:szCs w:val="21"/>
              </w:rPr>
              <w:t>((</w:t>
            </w:r>
            <w:r w:rsidRPr="00D63B1B">
              <w:rPr>
                <w:rFonts w:hint="eastAsia"/>
                <w:sz w:val="21"/>
                <w:szCs w:val="21"/>
              </w:rPr>
              <w:t>準備工</w:t>
            </w:r>
            <w:r w:rsidR="004A18C5">
              <w:rPr>
                <w:rFonts w:hint="eastAsia"/>
                <w:sz w:val="21"/>
                <w:szCs w:val="21"/>
              </w:rPr>
              <w:t>)</w:t>
            </w:r>
          </w:p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伐採・除根・除草工</w:t>
            </w:r>
          </w:p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進入路設置工</w:t>
            </w:r>
          </w:p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杭・丁張・標識工</w:t>
            </w:r>
          </w:p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その他</w:t>
            </w:r>
          </w:p>
        </w:tc>
        <w:tc>
          <w:tcPr>
            <w:tcW w:w="1494" w:type="dxa"/>
            <w:tcBorders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dxa"/>
            <w:tcBorders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6474" w:type="dxa"/>
            <w:vMerge/>
            <w:tcBorders>
              <w:top w:val="nil"/>
            </w:tcBorders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601" w:type="dxa"/>
            <w:tcBorders>
              <w:bottom w:val="dashSmallGap" w:sz="4" w:space="0" w:color="auto"/>
            </w:tcBorders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飛散防止工</w:t>
            </w:r>
          </w:p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防護柵設置工</w:t>
            </w:r>
          </w:p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その他</w:t>
            </w:r>
          </w:p>
        </w:tc>
        <w:tc>
          <w:tcPr>
            <w:tcW w:w="1494" w:type="dxa"/>
            <w:tcBorders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dxa"/>
            <w:tcBorders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6474" w:type="dxa"/>
            <w:vMerge/>
            <w:tcBorders>
              <w:top w:val="nil"/>
            </w:tcBorders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601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軟弱地盤対策工</w:t>
            </w:r>
          </w:p>
        </w:tc>
        <w:tc>
          <w:tcPr>
            <w:tcW w:w="1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6474" w:type="dxa"/>
            <w:vMerge/>
            <w:tcBorders>
              <w:top w:val="nil"/>
            </w:tcBorders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601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段切り工</w:t>
            </w:r>
          </w:p>
        </w:tc>
        <w:tc>
          <w:tcPr>
            <w:tcW w:w="1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6474" w:type="dxa"/>
            <w:vMerge/>
            <w:tcBorders>
              <w:top w:val="nil"/>
            </w:tcBorders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601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擁壁工</w:t>
            </w:r>
            <w:r w:rsidR="004A18C5"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土留工</w:t>
            </w:r>
            <w:r w:rsidR="004A18C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6474" w:type="dxa"/>
            <w:vMerge/>
            <w:tcBorders>
              <w:top w:val="nil"/>
            </w:tcBorders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601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排水施設工</w:t>
            </w:r>
          </w:p>
          <w:p w:rsidR="00A02FE8" w:rsidRPr="00D63B1B" w:rsidRDefault="00A02FE8" w:rsidP="00D63B1B">
            <w:pPr>
              <w:autoSpaceDN w:val="0"/>
              <w:ind w:firstLineChars="100" w:firstLine="21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沈砂池設置工</w:t>
            </w:r>
          </w:p>
          <w:p w:rsidR="00A02FE8" w:rsidRPr="00D63B1B" w:rsidRDefault="00A02FE8" w:rsidP="00D63B1B">
            <w:pPr>
              <w:autoSpaceDN w:val="0"/>
              <w:ind w:firstLineChars="100" w:firstLine="21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調整池設置工</w:t>
            </w:r>
          </w:p>
          <w:p w:rsidR="00A02FE8" w:rsidRPr="00D63B1B" w:rsidRDefault="00A02FE8" w:rsidP="00D63B1B">
            <w:pPr>
              <w:autoSpaceDN w:val="0"/>
              <w:ind w:firstLineChars="100" w:firstLine="21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地下排水工</w:t>
            </w:r>
          </w:p>
          <w:p w:rsidR="00A02FE8" w:rsidRPr="00D63B1B" w:rsidRDefault="00A02FE8" w:rsidP="00D63B1B">
            <w:pPr>
              <w:autoSpaceDN w:val="0"/>
              <w:ind w:firstLineChars="200" w:firstLine="42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暗渠排水工</w:t>
            </w:r>
          </w:p>
          <w:p w:rsidR="00A02FE8" w:rsidRPr="00D63B1B" w:rsidRDefault="00A02FE8" w:rsidP="00D63B1B">
            <w:pPr>
              <w:autoSpaceDN w:val="0"/>
              <w:ind w:firstLineChars="200" w:firstLine="42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埋設工</w:t>
            </w:r>
          </w:p>
          <w:p w:rsidR="00A02FE8" w:rsidRPr="00D63B1B" w:rsidRDefault="00A02FE8" w:rsidP="00D63B1B">
            <w:pPr>
              <w:autoSpaceDN w:val="0"/>
              <w:ind w:firstLineChars="100" w:firstLine="21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1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6474" w:type="dxa"/>
            <w:vMerge/>
            <w:tcBorders>
              <w:top w:val="nil"/>
            </w:tcBorders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601" w:type="dxa"/>
            <w:tcBorders>
              <w:top w:val="dashSmallGap" w:sz="4" w:space="0" w:color="auto"/>
            </w:tcBorders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1494" w:type="dxa"/>
            <w:tcBorders>
              <w:top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top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6474" w:type="dxa"/>
            <w:gridSpan w:val="5"/>
            <w:tcBorders>
              <w:bottom w:val="nil"/>
            </w:tcBorders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その他の工事等に要する経費</w:t>
            </w:r>
          </w:p>
        </w:tc>
        <w:tc>
          <w:tcPr>
            <w:tcW w:w="1743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636" w:type="dxa"/>
            <w:vMerge w:val="restart"/>
            <w:tcBorders>
              <w:top w:val="nil"/>
            </w:tcBorders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601" w:type="dxa"/>
            <w:tcBorders>
              <w:bottom w:val="dashSmallGap" w:sz="4" w:space="0" w:color="auto"/>
            </w:tcBorders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盛土工</w:t>
            </w:r>
          </w:p>
        </w:tc>
        <w:tc>
          <w:tcPr>
            <w:tcW w:w="1494" w:type="dxa"/>
            <w:tcBorders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dxa"/>
            <w:tcBorders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6474" w:type="dxa"/>
            <w:vMerge/>
            <w:tcBorders>
              <w:top w:val="nil"/>
            </w:tcBorders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601" w:type="dxa"/>
            <w:tcBorders>
              <w:bottom w:val="dashSmallGap" w:sz="4" w:space="0" w:color="auto"/>
            </w:tcBorders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表面排水工</w:t>
            </w:r>
          </w:p>
        </w:tc>
        <w:tc>
          <w:tcPr>
            <w:tcW w:w="1494" w:type="dxa"/>
            <w:tcBorders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dxa"/>
            <w:tcBorders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6474" w:type="dxa"/>
            <w:vMerge/>
            <w:tcBorders>
              <w:top w:val="nil"/>
            </w:tcBorders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601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法面保護工</w:t>
            </w:r>
          </w:p>
        </w:tc>
        <w:tc>
          <w:tcPr>
            <w:tcW w:w="1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6474" w:type="dxa"/>
            <w:vMerge/>
            <w:tcBorders>
              <w:top w:val="nil"/>
            </w:tcBorders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601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撤去工</w:t>
            </w:r>
          </w:p>
        </w:tc>
        <w:tc>
          <w:tcPr>
            <w:tcW w:w="1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6474" w:type="dxa"/>
            <w:vMerge/>
            <w:tcBorders>
              <w:top w:val="nil"/>
            </w:tcBorders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601" w:type="dxa"/>
            <w:tcBorders>
              <w:top w:val="dashSmallGap" w:sz="4" w:space="0" w:color="auto"/>
            </w:tcBorders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1494" w:type="dxa"/>
            <w:tcBorders>
              <w:top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top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dashSmallGap" w:sz="4" w:space="0" w:color="auto"/>
            </w:tcBorders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6474" w:type="dxa"/>
            <w:gridSpan w:val="5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その他の経費</w:t>
            </w:r>
            <w:r w:rsidR="004A18C5"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土地の賃借料、人件費等間接経費を含む。</w:t>
            </w:r>
            <w:r w:rsidR="004A18C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743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6474" w:type="dxa"/>
            <w:gridSpan w:val="5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合　　　計</w:t>
            </w:r>
          </w:p>
        </w:tc>
        <w:tc>
          <w:tcPr>
            <w:tcW w:w="1743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 w:val="restart"/>
            <w:textDirection w:val="tbRlV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16786F">
              <w:rPr>
                <w:rFonts w:hint="eastAsia"/>
                <w:spacing w:val="15"/>
                <w:sz w:val="21"/>
                <w:szCs w:val="21"/>
                <w:fitText w:val="1440" w:id="2052397313"/>
              </w:rPr>
              <w:t>資金調達方法</w:t>
            </w:r>
          </w:p>
        </w:tc>
        <w:tc>
          <w:tcPr>
            <w:tcW w:w="5217" w:type="dxa"/>
            <w:gridSpan w:val="4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項　　　　　目</w:t>
            </w:r>
          </w:p>
        </w:tc>
        <w:tc>
          <w:tcPr>
            <w:tcW w:w="1257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調達方法</w:t>
            </w:r>
          </w:p>
        </w:tc>
        <w:tc>
          <w:tcPr>
            <w:tcW w:w="1743" w:type="dxa"/>
            <w:hideMark/>
          </w:tcPr>
          <w:p w:rsidR="00A02FE8" w:rsidRPr="00D63B1B" w:rsidRDefault="00A02FE8" w:rsidP="004A18C5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金額</w:t>
            </w:r>
            <w:r w:rsidR="004A18C5"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千円</w:t>
            </w:r>
            <w:r w:rsidR="004A18C5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5217" w:type="dxa"/>
            <w:gridSpan w:val="4"/>
            <w:vMerge w:val="restart"/>
            <w:vAlign w:val="center"/>
            <w:hideMark/>
          </w:tcPr>
          <w:p w:rsidR="00A02FE8" w:rsidRPr="00D63B1B" w:rsidRDefault="00A02FE8" w:rsidP="009166FC">
            <w:pPr>
              <w:autoSpaceDN w:val="0"/>
              <w:jc w:val="left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防災のための施設の設置工事に要する経費に係る資金調達方法</w:t>
            </w:r>
          </w:p>
        </w:tc>
        <w:tc>
          <w:tcPr>
            <w:tcW w:w="1257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自己資金</w:t>
            </w:r>
          </w:p>
        </w:tc>
        <w:tc>
          <w:tcPr>
            <w:tcW w:w="1743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2312" w:type="dxa"/>
            <w:gridSpan w:val="4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257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借入金</w:t>
            </w:r>
          </w:p>
        </w:tc>
        <w:tc>
          <w:tcPr>
            <w:tcW w:w="1743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5217" w:type="dxa"/>
            <w:gridSpan w:val="4"/>
            <w:vMerge w:val="restart"/>
            <w:vAlign w:val="center"/>
            <w:hideMark/>
          </w:tcPr>
          <w:p w:rsidR="00A02FE8" w:rsidRPr="00D63B1B" w:rsidRDefault="00A02FE8" w:rsidP="009166FC">
            <w:pPr>
              <w:autoSpaceDN w:val="0"/>
              <w:jc w:val="left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その他の工事等に要する経費に係る資金調達方法</w:t>
            </w:r>
          </w:p>
        </w:tc>
        <w:tc>
          <w:tcPr>
            <w:tcW w:w="1257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自己資金</w:t>
            </w:r>
          </w:p>
        </w:tc>
        <w:tc>
          <w:tcPr>
            <w:tcW w:w="1743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2312" w:type="dxa"/>
            <w:gridSpan w:val="4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257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借入金</w:t>
            </w:r>
          </w:p>
        </w:tc>
        <w:tc>
          <w:tcPr>
            <w:tcW w:w="1743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2312" w:type="dxa"/>
            <w:gridSpan w:val="4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257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収入</w:t>
            </w:r>
          </w:p>
        </w:tc>
        <w:tc>
          <w:tcPr>
            <w:tcW w:w="1743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cantSplit/>
          <w:trHeight w:val="20"/>
        </w:trPr>
        <w:tc>
          <w:tcPr>
            <w:tcW w:w="475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6474" w:type="dxa"/>
            <w:gridSpan w:val="5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合　　　計</w:t>
            </w:r>
          </w:p>
        </w:tc>
        <w:tc>
          <w:tcPr>
            <w:tcW w:w="1743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</w:tbl>
    <w:p w:rsidR="00D90DBF" w:rsidRPr="00D63B1B" w:rsidRDefault="00D90DBF" w:rsidP="009166FC">
      <w:pPr>
        <w:autoSpaceDN w:val="0"/>
        <w:rPr>
          <w:sz w:val="21"/>
          <w:szCs w:val="21"/>
        </w:rPr>
      </w:pPr>
    </w:p>
    <w:sectPr w:rsidR="00D90DBF" w:rsidRPr="00D63B1B" w:rsidSect="0016786F">
      <w:endnotePr>
        <w:numStart w:val="0"/>
      </w:endnotePr>
      <w:pgSz w:w="11904" w:h="16836"/>
      <w:pgMar w:top="1588" w:right="1588" w:bottom="1134" w:left="1588" w:header="284" w:footer="284" w:gutter="0"/>
      <w:paperSrc w:first="265" w:other="265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6591" w:rsidRDefault="00446591">
      <w:r>
        <w:separator/>
      </w:r>
    </w:p>
  </w:endnote>
  <w:endnote w:type="continuationSeparator" w:id="0">
    <w:p w:rsidR="00446591" w:rsidRDefault="0044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6591" w:rsidRDefault="00446591">
      <w:r>
        <w:separator/>
      </w:r>
    </w:p>
  </w:footnote>
  <w:footnote w:type="continuationSeparator" w:id="0">
    <w:p w:rsidR="00446591" w:rsidRDefault="00446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B53487"/>
    <w:multiLevelType w:val="hybridMultilevel"/>
    <w:tmpl w:val="5C4087DA"/>
    <w:lvl w:ilvl="0" w:tplc="D908CB14">
      <w:start w:val="11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587F436C"/>
    <w:multiLevelType w:val="hybridMultilevel"/>
    <w:tmpl w:val="BF0A7832"/>
    <w:lvl w:ilvl="0" w:tplc="E5BC19CA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3271028">
    <w:abstractNumId w:val="9"/>
  </w:num>
  <w:num w:numId="2" w16cid:durableId="1206797850">
    <w:abstractNumId w:val="7"/>
  </w:num>
  <w:num w:numId="3" w16cid:durableId="132526675">
    <w:abstractNumId w:val="6"/>
  </w:num>
  <w:num w:numId="4" w16cid:durableId="1637837939">
    <w:abstractNumId w:val="5"/>
  </w:num>
  <w:num w:numId="5" w16cid:durableId="1465849939">
    <w:abstractNumId w:val="4"/>
  </w:num>
  <w:num w:numId="6" w16cid:durableId="1770739050">
    <w:abstractNumId w:val="8"/>
  </w:num>
  <w:num w:numId="7" w16cid:durableId="2021004421">
    <w:abstractNumId w:val="3"/>
  </w:num>
  <w:num w:numId="8" w16cid:durableId="1707411987">
    <w:abstractNumId w:val="2"/>
  </w:num>
  <w:num w:numId="9" w16cid:durableId="870266507">
    <w:abstractNumId w:val="1"/>
  </w:num>
  <w:num w:numId="10" w16cid:durableId="934168051">
    <w:abstractNumId w:val="0"/>
  </w:num>
  <w:num w:numId="11" w16cid:durableId="1170409264">
    <w:abstractNumId w:val="12"/>
  </w:num>
  <w:num w:numId="12" w16cid:durableId="1827281241">
    <w:abstractNumId w:val="10"/>
  </w:num>
  <w:num w:numId="13" w16cid:durableId="3071768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32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D3D"/>
    <w:rsid w:val="000008D4"/>
    <w:rsid w:val="00001082"/>
    <w:rsid w:val="000017A4"/>
    <w:rsid w:val="00001870"/>
    <w:rsid w:val="00001EC1"/>
    <w:rsid w:val="00001FCC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244B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B09"/>
    <w:rsid w:val="00022D19"/>
    <w:rsid w:val="00022E85"/>
    <w:rsid w:val="0002367B"/>
    <w:rsid w:val="00023D44"/>
    <w:rsid w:val="00023E48"/>
    <w:rsid w:val="0002515C"/>
    <w:rsid w:val="000269B4"/>
    <w:rsid w:val="00026F4D"/>
    <w:rsid w:val="00027017"/>
    <w:rsid w:val="00027439"/>
    <w:rsid w:val="00027C3F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346C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2D1A"/>
    <w:rsid w:val="00062F69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785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87EF7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37F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1832"/>
    <w:rsid w:val="000C23C3"/>
    <w:rsid w:val="000C2A9B"/>
    <w:rsid w:val="000C60F6"/>
    <w:rsid w:val="000C7E88"/>
    <w:rsid w:val="000D19A2"/>
    <w:rsid w:val="000D2CE3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5C11"/>
    <w:rsid w:val="000E61B1"/>
    <w:rsid w:val="000E6A85"/>
    <w:rsid w:val="000E6E73"/>
    <w:rsid w:val="000E725E"/>
    <w:rsid w:val="000F13F0"/>
    <w:rsid w:val="000F1D4B"/>
    <w:rsid w:val="000F2611"/>
    <w:rsid w:val="000F2823"/>
    <w:rsid w:val="000F282D"/>
    <w:rsid w:val="000F2CF0"/>
    <w:rsid w:val="000F2E8B"/>
    <w:rsid w:val="000F5A73"/>
    <w:rsid w:val="000F5CA3"/>
    <w:rsid w:val="000F69E0"/>
    <w:rsid w:val="000F76E0"/>
    <w:rsid w:val="001025AB"/>
    <w:rsid w:val="00102832"/>
    <w:rsid w:val="0010365A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8ED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4786B"/>
    <w:rsid w:val="0015036D"/>
    <w:rsid w:val="00150407"/>
    <w:rsid w:val="00153516"/>
    <w:rsid w:val="00153CDB"/>
    <w:rsid w:val="00154899"/>
    <w:rsid w:val="00154C46"/>
    <w:rsid w:val="001553FE"/>
    <w:rsid w:val="00155423"/>
    <w:rsid w:val="001559C2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46"/>
    <w:rsid w:val="0016206C"/>
    <w:rsid w:val="00163DE3"/>
    <w:rsid w:val="0016424D"/>
    <w:rsid w:val="00165AE6"/>
    <w:rsid w:val="0016627F"/>
    <w:rsid w:val="00167015"/>
    <w:rsid w:val="0016786F"/>
    <w:rsid w:val="001700C1"/>
    <w:rsid w:val="001710EC"/>
    <w:rsid w:val="001719BD"/>
    <w:rsid w:val="00172308"/>
    <w:rsid w:val="00172E8F"/>
    <w:rsid w:val="00173A93"/>
    <w:rsid w:val="00174432"/>
    <w:rsid w:val="001745D8"/>
    <w:rsid w:val="00176188"/>
    <w:rsid w:val="001761EF"/>
    <w:rsid w:val="001773AB"/>
    <w:rsid w:val="00177596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5D96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6A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D7A1B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9BC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1DE3"/>
    <w:rsid w:val="00213455"/>
    <w:rsid w:val="00213C77"/>
    <w:rsid w:val="00214830"/>
    <w:rsid w:val="00217287"/>
    <w:rsid w:val="00217CF3"/>
    <w:rsid w:val="00220E4F"/>
    <w:rsid w:val="00223493"/>
    <w:rsid w:val="00223A22"/>
    <w:rsid w:val="0022413F"/>
    <w:rsid w:val="002243A9"/>
    <w:rsid w:val="00224C02"/>
    <w:rsid w:val="0022554C"/>
    <w:rsid w:val="00225E95"/>
    <w:rsid w:val="00227B7E"/>
    <w:rsid w:val="002306CB"/>
    <w:rsid w:val="00231D3D"/>
    <w:rsid w:val="00231FBA"/>
    <w:rsid w:val="002328B1"/>
    <w:rsid w:val="00233A08"/>
    <w:rsid w:val="0023409A"/>
    <w:rsid w:val="00235361"/>
    <w:rsid w:val="002358F4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6733D"/>
    <w:rsid w:val="00270B17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395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A9D"/>
    <w:rsid w:val="002D2D6A"/>
    <w:rsid w:val="002D333C"/>
    <w:rsid w:val="002D34FF"/>
    <w:rsid w:val="002D4597"/>
    <w:rsid w:val="002D5208"/>
    <w:rsid w:val="002D739C"/>
    <w:rsid w:val="002E17E5"/>
    <w:rsid w:val="002E19A7"/>
    <w:rsid w:val="002E2079"/>
    <w:rsid w:val="002E3096"/>
    <w:rsid w:val="002E3C0E"/>
    <w:rsid w:val="002E41EC"/>
    <w:rsid w:val="002E4615"/>
    <w:rsid w:val="002E4DAD"/>
    <w:rsid w:val="002E5878"/>
    <w:rsid w:val="002E5AE2"/>
    <w:rsid w:val="002E61C5"/>
    <w:rsid w:val="002F070B"/>
    <w:rsid w:val="002F0792"/>
    <w:rsid w:val="002F2B29"/>
    <w:rsid w:val="002F66EB"/>
    <w:rsid w:val="002F6B3B"/>
    <w:rsid w:val="002F6D50"/>
    <w:rsid w:val="002F6E65"/>
    <w:rsid w:val="002F7E61"/>
    <w:rsid w:val="0030253D"/>
    <w:rsid w:val="00302E6A"/>
    <w:rsid w:val="00303606"/>
    <w:rsid w:val="00305BA9"/>
    <w:rsid w:val="0030663F"/>
    <w:rsid w:val="00306810"/>
    <w:rsid w:val="003068AB"/>
    <w:rsid w:val="00307FD8"/>
    <w:rsid w:val="00310EF6"/>
    <w:rsid w:val="00312460"/>
    <w:rsid w:val="00313901"/>
    <w:rsid w:val="003139F6"/>
    <w:rsid w:val="00313EDD"/>
    <w:rsid w:val="00313F58"/>
    <w:rsid w:val="00313F69"/>
    <w:rsid w:val="0031408C"/>
    <w:rsid w:val="00314356"/>
    <w:rsid w:val="003172FF"/>
    <w:rsid w:val="00317953"/>
    <w:rsid w:val="003207A9"/>
    <w:rsid w:val="0032084A"/>
    <w:rsid w:val="00321160"/>
    <w:rsid w:val="00321BA8"/>
    <w:rsid w:val="00322AD5"/>
    <w:rsid w:val="0032304A"/>
    <w:rsid w:val="00323940"/>
    <w:rsid w:val="00324635"/>
    <w:rsid w:val="00324F7C"/>
    <w:rsid w:val="0032561D"/>
    <w:rsid w:val="003258E3"/>
    <w:rsid w:val="003259E7"/>
    <w:rsid w:val="00325C96"/>
    <w:rsid w:val="0032616F"/>
    <w:rsid w:val="003278F3"/>
    <w:rsid w:val="0033014C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2DA1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1BB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771BA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29D"/>
    <w:rsid w:val="00386CC1"/>
    <w:rsid w:val="0039086D"/>
    <w:rsid w:val="00392E46"/>
    <w:rsid w:val="00394368"/>
    <w:rsid w:val="0039442D"/>
    <w:rsid w:val="00394A06"/>
    <w:rsid w:val="003958FF"/>
    <w:rsid w:val="0039599C"/>
    <w:rsid w:val="0039691D"/>
    <w:rsid w:val="00396A7B"/>
    <w:rsid w:val="00396AA1"/>
    <w:rsid w:val="00396CEB"/>
    <w:rsid w:val="003A1811"/>
    <w:rsid w:val="003A330F"/>
    <w:rsid w:val="003A56EB"/>
    <w:rsid w:val="003A66B5"/>
    <w:rsid w:val="003A70C0"/>
    <w:rsid w:val="003B048D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9C2"/>
    <w:rsid w:val="003C5D53"/>
    <w:rsid w:val="003C5F88"/>
    <w:rsid w:val="003D0817"/>
    <w:rsid w:val="003D1D61"/>
    <w:rsid w:val="003D27D2"/>
    <w:rsid w:val="003D4FC4"/>
    <w:rsid w:val="003D6174"/>
    <w:rsid w:val="003D714D"/>
    <w:rsid w:val="003E0594"/>
    <w:rsid w:val="003E18E1"/>
    <w:rsid w:val="003E22C9"/>
    <w:rsid w:val="003E2632"/>
    <w:rsid w:val="003E31D1"/>
    <w:rsid w:val="003E34A7"/>
    <w:rsid w:val="003E3B4A"/>
    <w:rsid w:val="003E3E54"/>
    <w:rsid w:val="003E4722"/>
    <w:rsid w:val="003E47B7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74FC"/>
    <w:rsid w:val="00407777"/>
    <w:rsid w:val="00411AFC"/>
    <w:rsid w:val="00411BA4"/>
    <w:rsid w:val="004120FF"/>
    <w:rsid w:val="004144A7"/>
    <w:rsid w:val="00414AA3"/>
    <w:rsid w:val="0041579D"/>
    <w:rsid w:val="00416623"/>
    <w:rsid w:val="004168FE"/>
    <w:rsid w:val="004169C2"/>
    <w:rsid w:val="00416B29"/>
    <w:rsid w:val="00417732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C78"/>
    <w:rsid w:val="00432F33"/>
    <w:rsid w:val="004338C6"/>
    <w:rsid w:val="00433BEE"/>
    <w:rsid w:val="00433BF7"/>
    <w:rsid w:val="004347C5"/>
    <w:rsid w:val="00434A65"/>
    <w:rsid w:val="00436871"/>
    <w:rsid w:val="00436C8D"/>
    <w:rsid w:val="00436F6D"/>
    <w:rsid w:val="00437D22"/>
    <w:rsid w:val="00437F17"/>
    <w:rsid w:val="004413F5"/>
    <w:rsid w:val="0044294C"/>
    <w:rsid w:val="00442DBB"/>
    <w:rsid w:val="0044471A"/>
    <w:rsid w:val="0044523A"/>
    <w:rsid w:val="00445747"/>
    <w:rsid w:val="004461D3"/>
    <w:rsid w:val="00446591"/>
    <w:rsid w:val="00447321"/>
    <w:rsid w:val="00452344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3C74"/>
    <w:rsid w:val="0046466E"/>
    <w:rsid w:val="00466600"/>
    <w:rsid w:val="00466E24"/>
    <w:rsid w:val="00467F3F"/>
    <w:rsid w:val="00470466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3F33"/>
    <w:rsid w:val="004846E0"/>
    <w:rsid w:val="00485C57"/>
    <w:rsid w:val="004863D1"/>
    <w:rsid w:val="0048651D"/>
    <w:rsid w:val="00486D5E"/>
    <w:rsid w:val="00486D9D"/>
    <w:rsid w:val="00487052"/>
    <w:rsid w:val="00487E9E"/>
    <w:rsid w:val="00490283"/>
    <w:rsid w:val="00490914"/>
    <w:rsid w:val="0049126B"/>
    <w:rsid w:val="004929A7"/>
    <w:rsid w:val="00494E93"/>
    <w:rsid w:val="00495F12"/>
    <w:rsid w:val="004960F4"/>
    <w:rsid w:val="004A0EC6"/>
    <w:rsid w:val="004A144D"/>
    <w:rsid w:val="004A18C5"/>
    <w:rsid w:val="004A1A1F"/>
    <w:rsid w:val="004A20CE"/>
    <w:rsid w:val="004A52EB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1D6"/>
    <w:rsid w:val="004C553E"/>
    <w:rsid w:val="004C57A3"/>
    <w:rsid w:val="004C5DF2"/>
    <w:rsid w:val="004C6D9A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64AE"/>
    <w:rsid w:val="004E6856"/>
    <w:rsid w:val="004E6A6A"/>
    <w:rsid w:val="004F04BB"/>
    <w:rsid w:val="004F0704"/>
    <w:rsid w:val="004F182E"/>
    <w:rsid w:val="004F1AB8"/>
    <w:rsid w:val="004F22DF"/>
    <w:rsid w:val="004F27C6"/>
    <w:rsid w:val="004F2A32"/>
    <w:rsid w:val="004F2EDE"/>
    <w:rsid w:val="004F306C"/>
    <w:rsid w:val="004F5632"/>
    <w:rsid w:val="004F6C16"/>
    <w:rsid w:val="004F6DF7"/>
    <w:rsid w:val="004F7991"/>
    <w:rsid w:val="00500123"/>
    <w:rsid w:val="00501370"/>
    <w:rsid w:val="0050211E"/>
    <w:rsid w:val="00503CE3"/>
    <w:rsid w:val="00505105"/>
    <w:rsid w:val="005059AD"/>
    <w:rsid w:val="0050679D"/>
    <w:rsid w:val="0051130E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2C68"/>
    <w:rsid w:val="00533EFE"/>
    <w:rsid w:val="005340D3"/>
    <w:rsid w:val="00536439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2F9E"/>
    <w:rsid w:val="0055565C"/>
    <w:rsid w:val="005563B8"/>
    <w:rsid w:val="005568DC"/>
    <w:rsid w:val="005579EA"/>
    <w:rsid w:val="005606FB"/>
    <w:rsid w:val="005618FB"/>
    <w:rsid w:val="00562791"/>
    <w:rsid w:val="0056330B"/>
    <w:rsid w:val="005643AF"/>
    <w:rsid w:val="00566A99"/>
    <w:rsid w:val="00567A5F"/>
    <w:rsid w:val="00570233"/>
    <w:rsid w:val="0057064B"/>
    <w:rsid w:val="00572EC0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0C3"/>
    <w:rsid w:val="005A3B61"/>
    <w:rsid w:val="005A3CDA"/>
    <w:rsid w:val="005A3E56"/>
    <w:rsid w:val="005A40BC"/>
    <w:rsid w:val="005A4E7E"/>
    <w:rsid w:val="005A5018"/>
    <w:rsid w:val="005A5164"/>
    <w:rsid w:val="005A6E98"/>
    <w:rsid w:val="005A7434"/>
    <w:rsid w:val="005A7A63"/>
    <w:rsid w:val="005B0A0D"/>
    <w:rsid w:val="005B13FC"/>
    <w:rsid w:val="005B1669"/>
    <w:rsid w:val="005B2DB4"/>
    <w:rsid w:val="005B306B"/>
    <w:rsid w:val="005B345C"/>
    <w:rsid w:val="005B4101"/>
    <w:rsid w:val="005B4FDB"/>
    <w:rsid w:val="005C0B03"/>
    <w:rsid w:val="005C0BF8"/>
    <w:rsid w:val="005C10DC"/>
    <w:rsid w:val="005C1C2D"/>
    <w:rsid w:val="005C245E"/>
    <w:rsid w:val="005C36CE"/>
    <w:rsid w:val="005C46B9"/>
    <w:rsid w:val="005C46E2"/>
    <w:rsid w:val="005C4905"/>
    <w:rsid w:val="005C50CB"/>
    <w:rsid w:val="005C61BB"/>
    <w:rsid w:val="005C6357"/>
    <w:rsid w:val="005C73B1"/>
    <w:rsid w:val="005C787F"/>
    <w:rsid w:val="005D11B3"/>
    <w:rsid w:val="005D1C7B"/>
    <w:rsid w:val="005D206F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117B"/>
    <w:rsid w:val="005E2088"/>
    <w:rsid w:val="005E22C3"/>
    <w:rsid w:val="005E2482"/>
    <w:rsid w:val="005E4088"/>
    <w:rsid w:val="005E4FE6"/>
    <w:rsid w:val="005E5E4C"/>
    <w:rsid w:val="005E64E1"/>
    <w:rsid w:val="005E70F8"/>
    <w:rsid w:val="005E7206"/>
    <w:rsid w:val="005E75F8"/>
    <w:rsid w:val="005F066D"/>
    <w:rsid w:val="005F0926"/>
    <w:rsid w:val="005F10E7"/>
    <w:rsid w:val="005F134A"/>
    <w:rsid w:val="005F20E0"/>
    <w:rsid w:val="005F38DC"/>
    <w:rsid w:val="005F47C0"/>
    <w:rsid w:val="005F4B6E"/>
    <w:rsid w:val="005F4F86"/>
    <w:rsid w:val="005F698D"/>
    <w:rsid w:val="005F6D46"/>
    <w:rsid w:val="005F6DC1"/>
    <w:rsid w:val="00600916"/>
    <w:rsid w:val="006009D6"/>
    <w:rsid w:val="00600B75"/>
    <w:rsid w:val="00601029"/>
    <w:rsid w:val="00603404"/>
    <w:rsid w:val="00604E71"/>
    <w:rsid w:val="00606D2D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11EA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2D9"/>
    <w:rsid w:val="00627919"/>
    <w:rsid w:val="00627CC8"/>
    <w:rsid w:val="00630F80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0DE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07CF"/>
    <w:rsid w:val="00663158"/>
    <w:rsid w:val="00663675"/>
    <w:rsid w:val="00663CC0"/>
    <w:rsid w:val="0066459A"/>
    <w:rsid w:val="00664687"/>
    <w:rsid w:val="006647DC"/>
    <w:rsid w:val="00664A82"/>
    <w:rsid w:val="00665A0B"/>
    <w:rsid w:val="00666C0F"/>
    <w:rsid w:val="0066759C"/>
    <w:rsid w:val="0066792D"/>
    <w:rsid w:val="00667B7A"/>
    <w:rsid w:val="00670B47"/>
    <w:rsid w:val="00671665"/>
    <w:rsid w:val="00674229"/>
    <w:rsid w:val="006769E1"/>
    <w:rsid w:val="00677C4F"/>
    <w:rsid w:val="006802C6"/>
    <w:rsid w:val="0068050C"/>
    <w:rsid w:val="006806BE"/>
    <w:rsid w:val="00681D72"/>
    <w:rsid w:val="006828DC"/>
    <w:rsid w:val="00682AC6"/>
    <w:rsid w:val="00685DFD"/>
    <w:rsid w:val="00685E99"/>
    <w:rsid w:val="00686242"/>
    <w:rsid w:val="00686ADA"/>
    <w:rsid w:val="00686ED4"/>
    <w:rsid w:val="00686F29"/>
    <w:rsid w:val="0068745E"/>
    <w:rsid w:val="00690C60"/>
    <w:rsid w:val="006931FF"/>
    <w:rsid w:val="0069335B"/>
    <w:rsid w:val="00693CD1"/>
    <w:rsid w:val="00693EB9"/>
    <w:rsid w:val="00693FDC"/>
    <w:rsid w:val="00694952"/>
    <w:rsid w:val="0069565E"/>
    <w:rsid w:val="0069566C"/>
    <w:rsid w:val="006956D6"/>
    <w:rsid w:val="00695CF5"/>
    <w:rsid w:val="006A09C0"/>
    <w:rsid w:val="006A23EA"/>
    <w:rsid w:val="006A25BB"/>
    <w:rsid w:val="006A28A5"/>
    <w:rsid w:val="006A67FA"/>
    <w:rsid w:val="006B02A0"/>
    <w:rsid w:val="006B0CE0"/>
    <w:rsid w:val="006B125F"/>
    <w:rsid w:val="006B279A"/>
    <w:rsid w:val="006B2863"/>
    <w:rsid w:val="006B3121"/>
    <w:rsid w:val="006B3B24"/>
    <w:rsid w:val="006B494A"/>
    <w:rsid w:val="006B4DD4"/>
    <w:rsid w:val="006B6480"/>
    <w:rsid w:val="006B7DB0"/>
    <w:rsid w:val="006C1572"/>
    <w:rsid w:val="006C15CA"/>
    <w:rsid w:val="006C161C"/>
    <w:rsid w:val="006C2D7F"/>
    <w:rsid w:val="006C3831"/>
    <w:rsid w:val="006C3D6D"/>
    <w:rsid w:val="006C534B"/>
    <w:rsid w:val="006C7474"/>
    <w:rsid w:val="006C7C44"/>
    <w:rsid w:val="006D087E"/>
    <w:rsid w:val="006D144C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2A5"/>
    <w:rsid w:val="006E5690"/>
    <w:rsid w:val="006E694F"/>
    <w:rsid w:val="006E6AB5"/>
    <w:rsid w:val="006E6D10"/>
    <w:rsid w:val="006F14B1"/>
    <w:rsid w:val="006F157C"/>
    <w:rsid w:val="006F31D8"/>
    <w:rsid w:val="006F55FF"/>
    <w:rsid w:val="006F62BB"/>
    <w:rsid w:val="006F705E"/>
    <w:rsid w:val="0070144F"/>
    <w:rsid w:val="0070166A"/>
    <w:rsid w:val="007017B7"/>
    <w:rsid w:val="0070299C"/>
    <w:rsid w:val="007040FC"/>
    <w:rsid w:val="007044AE"/>
    <w:rsid w:val="0070581D"/>
    <w:rsid w:val="00705B4B"/>
    <w:rsid w:val="00706B34"/>
    <w:rsid w:val="00707094"/>
    <w:rsid w:val="00707D5B"/>
    <w:rsid w:val="007102B3"/>
    <w:rsid w:val="00710FAB"/>
    <w:rsid w:val="00713406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0C3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1961"/>
    <w:rsid w:val="0074202D"/>
    <w:rsid w:val="00742577"/>
    <w:rsid w:val="0074330D"/>
    <w:rsid w:val="00743573"/>
    <w:rsid w:val="0074418F"/>
    <w:rsid w:val="007442EB"/>
    <w:rsid w:val="0074749D"/>
    <w:rsid w:val="00747AF5"/>
    <w:rsid w:val="00747C4C"/>
    <w:rsid w:val="00750089"/>
    <w:rsid w:val="00750735"/>
    <w:rsid w:val="00750BC2"/>
    <w:rsid w:val="00751E1D"/>
    <w:rsid w:val="007520D5"/>
    <w:rsid w:val="007529C6"/>
    <w:rsid w:val="00753256"/>
    <w:rsid w:val="00753645"/>
    <w:rsid w:val="00753790"/>
    <w:rsid w:val="007547F1"/>
    <w:rsid w:val="00754E9E"/>
    <w:rsid w:val="00755817"/>
    <w:rsid w:val="00755F52"/>
    <w:rsid w:val="007578F1"/>
    <w:rsid w:val="0076099C"/>
    <w:rsid w:val="007616ED"/>
    <w:rsid w:val="007629D7"/>
    <w:rsid w:val="00763CA2"/>
    <w:rsid w:val="007640A6"/>
    <w:rsid w:val="007640F1"/>
    <w:rsid w:val="00764AA4"/>
    <w:rsid w:val="00764C14"/>
    <w:rsid w:val="0076733E"/>
    <w:rsid w:val="00770784"/>
    <w:rsid w:val="0077101C"/>
    <w:rsid w:val="007721DC"/>
    <w:rsid w:val="00774D98"/>
    <w:rsid w:val="007767C2"/>
    <w:rsid w:val="00776E90"/>
    <w:rsid w:val="00780465"/>
    <w:rsid w:val="0078159E"/>
    <w:rsid w:val="00781650"/>
    <w:rsid w:val="00781681"/>
    <w:rsid w:val="007829E7"/>
    <w:rsid w:val="00783327"/>
    <w:rsid w:val="00783BD5"/>
    <w:rsid w:val="00784879"/>
    <w:rsid w:val="00784C2D"/>
    <w:rsid w:val="00787E44"/>
    <w:rsid w:val="0079152E"/>
    <w:rsid w:val="0079297B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C7B"/>
    <w:rsid w:val="007A7F9E"/>
    <w:rsid w:val="007B2881"/>
    <w:rsid w:val="007B2A8A"/>
    <w:rsid w:val="007B2DF9"/>
    <w:rsid w:val="007B3F89"/>
    <w:rsid w:val="007B48B8"/>
    <w:rsid w:val="007B4B5B"/>
    <w:rsid w:val="007B79D7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1D3"/>
    <w:rsid w:val="007D4B2D"/>
    <w:rsid w:val="007D7185"/>
    <w:rsid w:val="007E0D9A"/>
    <w:rsid w:val="007E2AA6"/>
    <w:rsid w:val="007E2BF7"/>
    <w:rsid w:val="007E48A1"/>
    <w:rsid w:val="007E4A69"/>
    <w:rsid w:val="007E4FD7"/>
    <w:rsid w:val="007E526A"/>
    <w:rsid w:val="007E580A"/>
    <w:rsid w:val="007E5D65"/>
    <w:rsid w:val="007E5EA4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626"/>
    <w:rsid w:val="00800BE3"/>
    <w:rsid w:val="00801242"/>
    <w:rsid w:val="008016FB"/>
    <w:rsid w:val="008017EB"/>
    <w:rsid w:val="00801D8B"/>
    <w:rsid w:val="00802D91"/>
    <w:rsid w:val="00802EAF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084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485C"/>
    <w:rsid w:val="00835060"/>
    <w:rsid w:val="0083599C"/>
    <w:rsid w:val="00835A45"/>
    <w:rsid w:val="008365B4"/>
    <w:rsid w:val="0083796D"/>
    <w:rsid w:val="00837A51"/>
    <w:rsid w:val="00840169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E5F"/>
    <w:rsid w:val="00845F00"/>
    <w:rsid w:val="00847E83"/>
    <w:rsid w:val="008501AD"/>
    <w:rsid w:val="00851158"/>
    <w:rsid w:val="00853284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27B"/>
    <w:rsid w:val="0087067E"/>
    <w:rsid w:val="00871376"/>
    <w:rsid w:val="008736E6"/>
    <w:rsid w:val="008738E5"/>
    <w:rsid w:val="00873C87"/>
    <w:rsid w:val="00873D99"/>
    <w:rsid w:val="00874095"/>
    <w:rsid w:val="008753F2"/>
    <w:rsid w:val="0088020A"/>
    <w:rsid w:val="00881179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95AC5"/>
    <w:rsid w:val="00897E89"/>
    <w:rsid w:val="008A0D66"/>
    <w:rsid w:val="008A1AC6"/>
    <w:rsid w:val="008A293B"/>
    <w:rsid w:val="008A2D7E"/>
    <w:rsid w:val="008A2F85"/>
    <w:rsid w:val="008A30A6"/>
    <w:rsid w:val="008A401C"/>
    <w:rsid w:val="008A4329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C29C3"/>
    <w:rsid w:val="008D0DBC"/>
    <w:rsid w:val="008D1583"/>
    <w:rsid w:val="008D163C"/>
    <w:rsid w:val="008D1AA1"/>
    <w:rsid w:val="008D2772"/>
    <w:rsid w:val="008D2C20"/>
    <w:rsid w:val="008D2EDE"/>
    <w:rsid w:val="008D326F"/>
    <w:rsid w:val="008D33D1"/>
    <w:rsid w:val="008D43C0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AC2"/>
    <w:rsid w:val="008E6BB7"/>
    <w:rsid w:val="008E6FB8"/>
    <w:rsid w:val="008E7143"/>
    <w:rsid w:val="008E7EAB"/>
    <w:rsid w:val="008F0BE5"/>
    <w:rsid w:val="008F11C2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8F7DDC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E51"/>
    <w:rsid w:val="00913F38"/>
    <w:rsid w:val="0091463E"/>
    <w:rsid w:val="009149AC"/>
    <w:rsid w:val="00914F73"/>
    <w:rsid w:val="00915FF1"/>
    <w:rsid w:val="0091650C"/>
    <w:rsid w:val="009166F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5573"/>
    <w:rsid w:val="0094653A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17C"/>
    <w:rsid w:val="009634B1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48BA"/>
    <w:rsid w:val="00976848"/>
    <w:rsid w:val="0097690E"/>
    <w:rsid w:val="00976F84"/>
    <w:rsid w:val="00977B01"/>
    <w:rsid w:val="0098035E"/>
    <w:rsid w:val="00981DEB"/>
    <w:rsid w:val="00982AC3"/>
    <w:rsid w:val="00982F2B"/>
    <w:rsid w:val="00984C99"/>
    <w:rsid w:val="009854C1"/>
    <w:rsid w:val="00986020"/>
    <w:rsid w:val="009869A8"/>
    <w:rsid w:val="009872EF"/>
    <w:rsid w:val="00987E54"/>
    <w:rsid w:val="0099068D"/>
    <w:rsid w:val="00990BEC"/>
    <w:rsid w:val="009913A2"/>
    <w:rsid w:val="009913CE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D36"/>
    <w:rsid w:val="009A3F32"/>
    <w:rsid w:val="009A4399"/>
    <w:rsid w:val="009A48F0"/>
    <w:rsid w:val="009A49C4"/>
    <w:rsid w:val="009A4BAB"/>
    <w:rsid w:val="009A56B4"/>
    <w:rsid w:val="009A634B"/>
    <w:rsid w:val="009A6F15"/>
    <w:rsid w:val="009A7174"/>
    <w:rsid w:val="009B0507"/>
    <w:rsid w:val="009B0663"/>
    <w:rsid w:val="009B1369"/>
    <w:rsid w:val="009B15F4"/>
    <w:rsid w:val="009B1C92"/>
    <w:rsid w:val="009B1D7B"/>
    <w:rsid w:val="009B228F"/>
    <w:rsid w:val="009B2A68"/>
    <w:rsid w:val="009B386E"/>
    <w:rsid w:val="009B6521"/>
    <w:rsid w:val="009B697F"/>
    <w:rsid w:val="009B6EAD"/>
    <w:rsid w:val="009C024A"/>
    <w:rsid w:val="009C0BDE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23B"/>
    <w:rsid w:val="009E379F"/>
    <w:rsid w:val="009E3814"/>
    <w:rsid w:val="009E4D92"/>
    <w:rsid w:val="009E5B3C"/>
    <w:rsid w:val="009E75F6"/>
    <w:rsid w:val="009F1A10"/>
    <w:rsid w:val="009F360C"/>
    <w:rsid w:val="009F3AF8"/>
    <w:rsid w:val="009F44F2"/>
    <w:rsid w:val="009F451B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2FE8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363D"/>
    <w:rsid w:val="00A23F85"/>
    <w:rsid w:val="00A249A0"/>
    <w:rsid w:val="00A25F05"/>
    <w:rsid w:val="00A25F45"/>
    <w:rsid w:val="00A300A6"/>
    <w:rsid w:val="00A302C5"/>
    <w:rsid w:val="00A30350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64E"/>
    <w:rsid w:val="00A44807"/>
    <w:rsid w:val="00A44BC5"/>
    <w:rsid w:val="00A45053"/>
    <w:rsid w:val="00A45F8F"/>
    <w:rsid w:val="00A46D0C"/>
    <w:rsid w:val="00A477F3"/>
    <w:rsid w:val="00A47BF4"/>
    <w:rsid w:val="00A47FCE"/>
    <w:rsid w:val="00A504B5"/>
    <w:rsid w:val="00A51746"/>
    <w:rsid w:val="00A522E5"/>
    <w:rsid w:val="00A535FF"/>
    <w:rsid w:val="00A5562D"/>
    <w:rsid w:val="00A5577D"/>
    <w:rsid w:val="00A561C6"/>
    <w:rsid w:val="00A5632F"/>
    <w:rsid w:val="00A56BDB"/>
    <w:rsid w:val="00A57401"/>
    <w:rsid w:val="00A57DE3"/>
    <w:rsid w:val="00A60898"/>
    <w:rsid w:val="00A60D24"/>
    <w:rsid w:val="00A60D94"/>
    <w:rsid w:val="00A6183E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B43"/>
    <w:rsid w:val="00A74D3D"/>
    <w:rsid w:val="00A74DE8"/>
    <w:rsid w:val="00A753FC"/>
    <w:rsid w:val="00A76983"/>
    <w:rsid w:val="00A76CA8"/>
    <w:rsid w:val="00A76DCB"/>
    <w:rsid w:val="00A80D55"/>
    <w:rsid w:val="00A81968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24F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793"/>
    <w:rsid w:val="00AB4AEE"/>
    <w:rsid w:val="00AB5209"/>
    <w:rsid w:val="00AB62D2"/>
    <w:rsid w:val="00AB6A1A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33D"/>
    <w:rsid w:val="00AC673F"/>
    <w:rsid w:val="00AC6947"/>
    <w:rsid w:val="00AC7AE5"/>
    <w:rsid w:val="00AC7CEF"/>
    <w:rsid w:val="00AD06C5"/>
    <w:rsid w:val="00AD2EAD"/>
    <w:rsid w:val="00AD3946"/>
    <w:rsid w:val="00AD43FE"/>
    <w:rsid w:val="00AD44D8"/>
    <w:rsid w:val="00AD4A55"/>
    <w:rsid w:val="00AD62E7"/>
    <w:rsid w:val="00AD731F"/>
    <w:rsid w:val="00AD7CBA"/>
    <w:rsid w:val="00AE08BE"/>
    <w:rsid w:val="00AE28CE"/>
    <w:rsid w:val="00AE3989"/>
    <w:rsid w:val="00AE39FA"/>
    <w:rsid w:val="00AE41DB"/>
    <w:rsid w:val="00AE4BBF"/>
    <w:rsid w:val="00AE4E76"/>
    <w:rsid w:val="00AE6082"/>
    <w:rsid w:val="00AE6A6B"/>
    <w:rsid w:val="00AF00B9"/>
    <w:rsid w:val="00AF080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6C00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389"/>
    <w:rsid w:val="00B16922"/>
    <w:rsid w:val="00B223AE"/>
    <w:rsid w:val="00B22649"/>
    <w:rsid w:val="00B23A9D"/>
    <w:rsid w:val="00B243C3"/>
    <w:rsid w:val="00B26DA2"/>
    <w:rsid w:val="00B279D6"/>
    <w:rsid w:val="00B300F8"/>
    <w:rsid w:val="00B30FA4"/>
    <w:rsid w:val="00B31F15"/>
    <w:rsid w:val="00B324CD"/>
    <w:rsid w:val="00B337D2"/>
    <w:rsid w:val="00B33E3F"/>
    <w:rsid w:val="00B33EE1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2D7D"/>
    <w:rsid w:val="00B533B4"/>
    <w:rsid w:val="00B5399E"/>
    <w:rsid w:val="00B56D35"/>
    <w:rsid w:val="00B57692"/>
    <w:rsid w:val="00B57C0F"/>
    <w:rsid w:val="00B61C24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4B91"/>
    <w:rsid w:val="00B96F4B"/>
    <w:rsid w:val="00B977D8"/>
    <w:rsid w:val="00BA16D3"/>
    <w:rsid w:val="00BA187C"/>
    <w:rsid w:val="00BA1C3E"/>
    <w:rsid w:val="00BA1D0C"/>
    <w:rsid w:val="00BA264B"/>
    <w:rsid w:val="00BA2926"/>
    <w:rsid w:val="00BA2D2E"/>
    <w:rsid w:val="00BA3FF9"/>
    <w:rsid w:val="00BA4F99"/>
    <w:rsid w:val="00BA53DC"/>
    <w:rsid w:val="00BA5B6C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56C2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60FC"/>
    <w:rsid w:val="00BC734D"/>
    <w:rsid w:val="00BC7481"/>
    <w:rsid w:val="00BC7843"/>
    <w:rsid w:val="00BD0C48"/>
    <w:rsid w:val="00BD1CFC"/>
    <w:rsid w:val="00BD2419"/>
    <w:rsid w:val="00BD2F7C"/>
    <w:rsid w:val="00BD45F5"/>
    <w:rsid w:val="00BD5825"/>
    <w:rsid w:val="00BD6710"/>
    <w:rsid w:val="00BD71C4"/>
    <w:rsid w:val="00BD7F98"/>
    <w:rsid w:val="00BE12B3"/>
    <w:rsid w:val="00BE2089"/>
    <w:rsid w:val="00BE273D"/>
    <w:rsid w:val="00BE3648"/>
    <w:rsid w:val="00BE3A49"/>
    <w:rsid w:val="00BE534F"/>
    <w:rsid w:val="00BE5AF6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1B65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22F0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4D20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3EE"/>
    <w:rsid w:val="00C477C2"/>
    <w:rsid w:val="00C50AA4"/>
    <w:rsid w:val="00C5236A"/>
    <w:rsid w:val="00C5265F"/>
    <w:rsid w:val="00C54E4C"/>
    <w:rsid w:val="00C54E63"/>
    <w:rsid w:val="00C57431"/>
    <w:rsid w:val="00C579B1"/>
    <w:rsid w:val="00C57D19"/>
    <w:rsid w:val="00C60D67"/>
    <w:rsid w:val="00C62CE8"/>
    <w:rsid w:val="00C64EC5"/>
    <w:rsid w:val="00C65558"/>
    <w:rsid w:val="00C65C83"/>
    <w:rsid w:val="00C66FD3"/>
    <w:rsid w:val="00C67C7A"/>
    <w:rsid w:val="00C7090E"/>
    <w:rsid w:val="00C71521"/>
    <w:rsid w:val="00C71D44"/>
    <w:rsid w:val="00C71EF3"/>
    <w:rsid w:val="00C729C6"/>
    <w:rsid w:val="00C72B0C"/>
    <w:rsid w:val="00C72B2A"/>
    <w:rsid w:val="00C72D21"/>
    <w:rsid w:val="00C73227"/>
    <w:rsid w:val="00C7480C"/>
    <w:rsid w:val="00C7487A"/>
    <w:rsid w:val="00C75426"/>
    <w:rsid w:val="00C75F98"/>
    <w:rsid w:val="00C7638E"/>
    <w:rsid w:val="00C77060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6B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2F1"/>
    <w:rsid w:val="00CA65BE"/>
    <w:rsid w:val="00CA7A77"/>
    <w:rsid w:val="00CA7BF8"/>
    <w:rsid w:val="00CB2CF6"/>
    <w:rsid w:val="00CB36C1"/>
    <w:rsid w:val="00CB4DCE"/>
    <w:rsid w:val="00CB6352"/>
    <w:rsid w:val="00CB6C89"/>
    <w:rsid w:val="00CB7132"/>
    <w:rsid w:val="00CB7B71"/>
    <w:rsid w:val="00CB7D3D"/>
    <w:rsid w:val="00CC01DA"/>
    <w:rsid w:val="00CC0A61"/>
    <w:rsid w:val="00CC0C49"/>
    <w:rsid w:val="00CC2705"/>
    <w:rsid w:val="00CC2CBA"/>
    <w:rsid w:val="00CC3B43"/>
    <w:rsid w:val="00CC74F6"/>
    <w:rsid w:val="00CD0900"/>
    <w:rsid w:val="00CD1756"/>
    <w:rsid w:val="00CD2021"/>
    <w:rsid w:val="00CD23CB"/>
    <w:rsid w:val="00CD25B1"/>
    <w:rsid w:val="00CD2C5D"/>
    <w:rsid w:val="00CD316F"/>
    <w:rsid w:val="00CD4E64"/>
    <w:rsid w:val="00CD500E"/>
    <w:rsid w:val="00CD6F25"/>
    <w:rsid w:val="00CD728B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620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1C56"/>
    <w:rsid w:val="00D1210A"/>
    <w:rsid w:val="00D16F4D"/>
    <w:rsid w:val="00D1713E"/>
    <w:rsid w:val="00D17353"/>
    <w:rsid w:val="00D1759B"/>
    <w:rsid w:val="00D175D7"/>
    <w:rsid w:val="00D177C4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B4B"/>
    <w:rsid w:val="00D313E8"/>
    <w:rsid w:val="00D32A2D"/>
    <w:rsid w:val="00D32CBD"/>
    <w:rsid w:val="00D330C4"/>
    <w:rsid w:val="00D33B9F"/>
    <w:rsid w:val="00D343CC"/>
    <w:rsid w:val="00D34B6F"/>
    <w:rsid w:val="00D35182"/>
    <w:rsid w:val="00D3598D"/>
    <w:rsid w:val="00D35B10"/>
    <w:rsid w:val="00D35CE4"/>
    <w:rsid w:val="00D35CEE"/>
    <w:rsid w:val="00D366C9"/>
    <w:rsid w:val="00D37FFB"/>
    <w:rsid w:val="00D4023D"/>
    <w:rsid w:val="00D40920"/>
    <w:rsid w:val="00D40FA9"/>
    <w:rsid w:val="00D41032"/>
    <w:rsid w:val="00D41BE4"/>
    <w:rsid w:val="00D4205D"/>
    <w:rsid w:val="00D423AB"/>
    <w:rsid w:val="00D42FB6"/>
    <w:rsid w:val="00D43693"/>
    <w:rsid w:val="00D4472C"/>
    <w:rsid w:val="00D44BDE"/>
    <w:rsid w:val="00D458C2"/>
    <w:rsid w:val="00D4650C"/>
    <w:rsid w:val="00D46E66"/>
    <w:rsid w:val="00D47054"/>
    <w:rsid w:val="00D50499"/>
    <w:rsid w:val="00D52459"/>
    <w:rsid w:val="00D52E38"/>
    <w:rsid w:val="00D5308B"/>
    <w:rsid w:val="00D53401"/>
    <w:rsid w:val="00D55082"/>
    <w:rsid w:val="00D55BE3"/>
    <w:rsid w:val="00D55C99"/>
    <w:rsid w:val="00D5635C"/>
    <w:rsid w:val="00D56475"/>
    <w:rsid w:val="00D56BAB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3B1B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77DDF"/>
    <w:rsid w:val="00D8195A"/>
    <w:rsid w:val="00D830D3"/>
    <w:rsid w:val="00D83543"/>
    <w:rsid w:val="00D8404A"/>
    <w:rsid w:val="00D86857"/>
    <w:rsid w:val="00D86BF1"/>
    <w:rsid w:val="00D90DBF"/>
    <w:rsid w:val="00D9148B"/>
    <w:rsid w:val="00D92B55"/>
    <w:rsid w:val="00D951C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B7312"/>
    <w:rsid w:val="00DC23C8"/>
    <w:rsid w:val="00DC3E91"/>
    <w:rsid w:val="00DC4318"/>
    <w:rsid w:val="00DC453E"/>
    <w:rsid w:val="00DC668A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2E5B"/>
    <w:rsid w:val="00DD4C84"/>
    <w:rsid w:val="00DD6290"/>
    <w:rsid w:val="00DD7F38"/>
    <w:rsid w:val="00DE1C93"/>
    <w:rsid w:val="00DE20D0"/>
    <w:rsid w:val="00DE4489"/>
    <w:rsid w:val="00DE496D"/>
    <w:rsid w:val="00DE4DCA"/>
    <w:rsid w:val="00DE55DE"/>
    <w:rsid w:val="00DE5B55"/>
    <w:rsid w:val="00DE7E61"/>
    <w:rsid w:val="00DF04CF"/>
    <w:rsid w:val="00DF2664"/>
    <w:rsid w:val="00DF5537"/>
    <w:rsid w:val="00DF6642"/>
    <w:rsid w:val="00DF69F7"/>
    <w:rsid w:val="00DF789B"/>
    <w:rsid w:val="00E00459"/>
    <w:rsid w:val="00E006AF"/>
    <w:rsid w:val="00E007AA"/>
    <w:rsid w:val="00E00900"/>
    <w:rsid w:val="00E0147C"/>
    <w:rsid w:val="00E017F6"/>
    <w:rsid w:val="00E03839"/>
    <w:rsid w:val="00E03F86"/>
    <w:rsid w:val="00E05B2A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3E1D"/>
    <w:rsid w:val="00E14805"/>
    <w:rsid w:val="00E14857"/>
    <w:rsid w:val="00E162A2"/>
    <w:rsid w:val="00E17C83"/>
    <w:rsid w:val="00E208C8"/>
    <w:rsid w:val="00E20F38"/>
    <w:rsid w:val="00E230CC"/>
    <w:rsid w:val="00E23FF9"/>
    <w:rsid w:val="00E24317"/>
    <w:rsid w:val="00E252C0"/>
    <w:rsid w:val="00E266BE"/>
    <w:rsid w:val="00E27677"/>
    <w:rsid w:val="00E27A8F"/>
    <w:rsid w:val="00E302CE"/>
    <w:rsid w:val="00E30CC3"/>
    <w:rsid w:val="00E32913"/>
    <w:rsid w:val="00E32A3F"/>
    <w:rsid w:val="00E33B3E"/>
    <w:rsid w:val="00E34380"/>
    <w:rsid w:val="00E34769"/>
    <w:rsid w:val="00E34B93"/>
    <w:rsid w:val="00E34C60"/>
    <w:rsid w:val="00E35790"/>
    <w:rsid w:val="00E35A88"/>
    <w:rsid w:val="00E35F6D"/>
    <w:rsid w:val="00E36D58"/>
    <w:rsid w:val="00E371A6"/>
    <w:rsid w:val="00E401C3"/>
    <w:rsid w:val="00E40F49"/>
    <w:rsid w:val="00E41725"/>
    <w:rsid w:val="00E41B24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9BA"/>
    <w:rsid w:val="00E569DF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1573"/>
    <w:rsid w:val="00EB214F"/>
    <w:rsid w:val="00EB2F2E"/>
    <w:rsid w:val="00EB2FE0"/>
    <w:rsid w:val="00EB33F0"/>
    <w:rsid w:val="00EB35BD"/>
    <w:rsid w:val="00EB3E8D"/>
    <w:rsid w:val="00EB3EC7"/>
    <w:rsid w:val="00EB45D5"/>
    <w:rsid w:val="00EB51E8"/>
    <w:rsid w:val="00EB6EC7"/>
    <w:rsid w:val="00EB7A20"/>
    <w:rsid w:val="00EC0801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13EE"/>
    <w:rsid w:val="00ED28D0"/>
    <w:rsid w:val="00ED34C1"/>
    <w:rsid w:val="00ED447F"/>
    <w:rsid w:val="00ED50E7"/>
    <w:rsid w:val="00ED66A2"/>
    <w:rsid w:val="00ED69E5"/>
    <w:rsid w:val="00ED7B73"/>
    <w:rsid w:val="00ED7C26"/>
    <w:rsid w:val="00EE01DD"/>
    <w:rsid w:val="00EE1379"/>
    <w:rsid w:val="00EE1B82"/>
    <w:rsid w:val="00EE1B87"/>
    <w:rsid w:val="00EE456E"/>
    <w:rsid w:val="00EF27AF"/>
    <w:rsid w:val="00EF28C8"/>
    <w:rsid w:val="00EF5299"/>
    <w:rsid w:val="00F018C4"/>
    <w:rsid w:val="00F020E4"/>
    <w:rsid w:val="00F03343"/>
    <w:rsid w:val="00F04346"/>
    <w:rsid w:val="00F0506F"/>
    <w:rsid w:val="00F074E0"/>
    <w:rsid w:val="00F07661"/>
    <w:rsid w:val="00F10990"/>
    <w:rsid w:val="00F11B0E"/>
    <w:rsid w:val="00F11B56"/>
    <w:rsid w:val="00F125D5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27C17"/>
    <w:rsid w:val="00F3017C"/>
    <w:rsid w:val="00F30A78"/>
    <w:rsid w:val="00F3193B"/>
    <w:rsid w:val="00F31D61"/>
    <w:rsid w:val="00F31EC1"/>
    <w:rsid w:val="00F326E8"/>
    <w:rsid w:val="00F327D9"/>
    <w:rsid w:val="00F334C4"/>
    <w:rsid w:val="00F33874"/>
    <w:rsid w:val="00F34D3C"/>
    <w:rsid w:val="00F36947"/>
    <w:rsid w:val="00F36CB6"/>
    <w:rsid w:val="00F405D4"/>
    <w:rsid w:val="00F419ED"/>
    <w:rsid w:val="00F420BB"/>
    <w:rsid w:val="00F42D2F"/>
    <w:rsid w:val="00F43076"/>
    <w:rsid w:val="00F43C97"/>
    <w:rsid w:val="00F43DDB"/>
    <w:rsid w:val="00F443F1"/>
    <w:rsid w:val="00F448A4"/>
    <w:rsid w:val="00F450F9"/>
    <w:rsid w:val="00F45694"/>
    <w:rsid w:val="00F46668"/>
    <w:rsid w:val="00F46EE2"/>
    <w:rsid w:val="00F475CB"/>
    <w:rsid w:val="00F47CB3"/>
    <w:rsid w:val="00F503D0"/>
    <w:rsid w:val="00F5069A"/>
    <w:rsid w:val="00F50A89"/>
    <w:rsid w:val="00F526CD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0A46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76BA3"/>
    <w:rsid w:val="00F80847"/>
    <w:rsid w:val="00F80BD7"/>
    <w:rsid w:val="00F836AC"/>
    <w:rsid w:val="00F83B8B"/>
    <w:rsid w:val="00F83C10"/>
    <w:rsid w:val="00F8608B"/>
    <w:rsid w:val="00F8633F"/>
    <w:rsid w:val="00F870AE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4DA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C72934A9-4F13-4BDA-A135-E7C03777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F4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rsid w:val="00627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5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4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4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4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5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1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1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1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1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1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15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1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1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15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15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1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1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1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7F9DE-69A1-4936-8C57-D033888F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101278</dc:creator>
  <cp:keywords/>
  <cp:lastModifiedBy>Hidenori Suzuki</cp:lastModifiedBy>
  <cp:revision>2</cp:revision>
  <cp:lastPrinted>2017-05-01T08:26:00Z</cp:lastPrinted>
  <dcterms:created xsi:type="dcterms:W3CDTF">2025-09-12T15:04:00Z</dcterms:created>
  <dcterms:modified xsi:type="dcterms:W3CDTF">2025-09-12T15:04:00Z</dcterms:modified>
</cp:coreProperties>
</file>