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823BB8" w:rsidRDefault="00AE6A6B" w:rsidP="00114756">
      <w:pPr>
        <w:wordWrap w:val="0"/>
        <w:ind w:firstLineChars="100" w:firstLine="210"/>
        <w:rPr>
          <w:kern w:val="2"/>
          <w:sz w:val="21"/>
        </w:rPr>
      </w:pPr>
      <w:r w:rsidRPr="00823BB8">
        <w:rPr>
          <w:rFonts w:hint="eastAsia"/>
          <w:kern w:val="2"/>
          <w:sz w:val="21"/>
        </w:rPr>
        <w:t>様式第</w:t>
      </w:r>
      <w:r w:rsidRPr="00823BB8">
        <w:rPr>
          <w:kern w:val="2"/>
          <w:sz w:val="21"/>
        </w:rPr>
        <w:t>17</w:t>
      </w:r>
      <w:r w:rsidRPr="00823BB8">
        <w:rPr>
          <w:rFonts w:hint="eastAsia"/>
          <w:kern w:val="2"/>
          <w:sz w:val="21"/>
        </w:rPr>
        <w:t>号</w:t>
      </w:r>
      <w:r w:rsidR="00E6355A">
        <w:rPr>
          <w:rFonts w:hint="eastAsia"/>
          <w:kern w:val="2"/>
          <w:sz w:val="21"/>
        </w:rPr>
        <w:t>(</w:t>
      </w:r>
      <w:r w:rsidRPr="00823BB8">
        <w:rPr>
          <w:rFonts w:hint="eastAsia"/>
          <w:kern w:val="2"/>
          <w:sz w:val="21"/>
        </w:rPr>
        <w:t>第</w:t>
      </w:r>
      <w:r w:rsidRPr="00823BB8">
        <w:rPr>
          <w:kern w:val="2"/>
          <w:sz w:val="21"/>
        </w:rPr>
        <w:t>17</w:t>
      </w:r>
      <w:r w:rsidR="00A02FE8" w:rsidRPr="00823BB8">
        <w:rPr>
          <w:rFonts w:hint="eastAsia"/>
          <w:kern w:val="2"/>
          <w:sz w:val="21"/>
        </w:rPr>
        <w:t>条関係</w:t>
      </w:r>
      <w:r w:rsidR="00E6355A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 w:rsidR="00E6355A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管理台帳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2739"/>
        <w:gridCol w:w="2739"/>
      </w:tblGrid>
      <w:tr w:rsidR="00A02FE8" w:rsidRPr="00D63B1B" w:rsidTr="00A02FE8">
        <w:trPr>
          <w:trHeight w:val="454"/>
        </w:trPr>
        <w:tc>
          <w:tcPr>
            <w:tcW w:w="323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E6355A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478" w:type="dxa"/>
            <w:gridSpan w:val="2"/>
            <w:vAlign w:val="center"/>
            <w:hideMark/>
          </w:tcPr>
          <w:p w:rsidR="00A02FE8" w:rsidRPr="00D63B1B" w:rsidRDefault="00AE6A6B" w:rsidP="00E6355A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2E2D41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A02FE8">
        <w:tc>
          <w:tcPr>
            <w:tcW w:w="3237" w:type="dxa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許可事業者の氏名</w:t>
            </w:r>
          </w:p>
          <w:p w:rsidR="00A02FE8" w:rsidRPr="00D63B1B" w:rsidRDefault="00FC43B3" w:rsidP="009166FC">
            <w:pPr>
              <w:autoSpaceDN w:val="0"/>
              <w:ind w:leftChars="50" w:left="120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75pt;margin-top:3.7pt;width:152.2pt;height:25.6pt;z-index:251657216" strokeweight=".5pt">
                  <v:textbox inset="5.85pt,.7pt,5.85pt,.7pt"/>
                </v:shape>
              </w:pict>
            </w:r>
            <w:r w:rsidR="00A02FE8" w:rsidRPr="00D63B1B">
              <w:rPr>
                <w:rFonts w:hint="eastAsia"/>
                <w:sz w:val="21"/>
                <w:szCs w:val="21"/>
              </w:rPr>
              <w:t>法人にあっては、その名称</w:t>
            </w:r>
            <w:r w:rsidR="00E6355A">
              <w:rPr>
                <w:rFonts w:hint="eastAsia"/>
                <w:sz w:val="21"/>
                <w:szCs w:val="21"/>
              </w:rPr>
              <w:t>および</w:t>
            </w:r>
            <w:r w:rsidR="00A02FE8" w:rsidRPr="00D63B1B">
              <w:rPr>
                <w:rFonts w:hint="eastAsia"/>
                <w:sz w:val="21"/>
                <w:szCs w:val="21"/>
              </w:rPr>
              <w:t>代表者の氏名</w:t>
            </w:r>
          </w:p>
        </w:tc>
        <w:tc>
          <w:tcPr>
            <w:tcW w:w="5478" w:type="dxa"/>
            <w:gridSpan w:val="2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c>
          <w:tcPr>
            <w:tcW w:w="3237" w:type="dxa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E6355A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を発生させた事業者の氏名</w:t>
            </w:r>
            <w:r w:rsidR="00E6355A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住所</w:t>
            </w:r>
          </w:p>
          <w:p w:rsidR="00A02FE8" w:rsidRPr="00D63B1B" w:rsidRDefault="00FC43B3" w:rsidP="009166FC">
            <w:pPr>
              <w:autoSpaceDN w:val="0"/>
              <w:ind w:leftChars="50" w:left="120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-.8pt;margin-top:3.65pt;width:150.9pt;height:43.45pt;z-index:251658240" adj="2279" strokeweight=".5pt">
                  <v:textbox inset="5.85pt,.7pt,5.85pt,.7pt"/>
                </v:shape>
              </w:pict>
            </w:r>
            <w:r w:rsidR="00A02FE8" w:rsidRPr="00D63B1B">
              <w:rPr>
                <w:rFonts w:hint="eastAsia"/>
                <w:sz w:val="21"/>
                <w:szCs w:val="21"/>
              </w:rPr>
              <w:t>法人にあっては、その名称、代表者の氏名</w:t>
            </w:r>
            <w:r w:rsidR="00E6355A">
              <w:rPr>
                <w:rFonts w:hint="eastAsia"/>
                <w:sz w:val="21"/>
                <w:szCs w:val="21"/>
              </w:rPr>
              <w:t>および</w:t>
            </w:r>
            <w:r w:rsidR="00A02FE8" w:rsidRPr="00D63B1B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5478" w:type="dxa"/>
            <w:gridSpan w:val="2"/>
            <w:vAlign w:val="center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  <w:vAlign w:val="center"/>
            <w:hideMark/>
          </w:tcPr>
          <w:p w:rsidR="00E6355A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E6355A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を発生させた</w:t>
            </w:r>
          </w:p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工事等の名称</w:t>
            </w:r>
          </w:p>
        </w:tc>
        <w:tc>
          <w:tcPr>
            <w:tcW w:w="5478" w:type="dxa"/>
            <w:gridSpan w:val="2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E6355A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の搬入</w:t>
            </w:r>
            <w:r w:rsidR="00E6355A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搬出</w:t>
            </w:r>
            <w:r w:rsidR="006821D8">
              <w:rPr>
                <w:rFonts w:hint="eastAsia"/>
                <w:sz w:val="21"/>
                <w:szCs w:val="21"/>
              </w:rPr>
              <w:t>)</w:t>
            </w:r>
            <w:r w:rsidRPr="00D63B1B">
              <w:rPr>
                <w:rFonts w:hint="eastAsia"/>
                <w:sz w:val="21"/>
                <w:szCs w:val="21"/>
              </w:rPr>
              <w:t>の日付</w:t>
            </w:r>
          </w:p>
        </w:tc>
        <w:tc>
          <w:tcPr>
            <w:tcW w:w="2739" w:type="dxa"/>
            <w:hideMark/>
          </w:tcPr>
          <w:p w:rsidR="00A02FE8" w:rsidRPr="00D63B1B" w:rsidRDefault="00F51CFE" w:rsidP="009166FC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A02FE8" w:rsidRPr="00D63B1B">
              <w:rPr>
                <w:rFonts w:hint="eastAsia"/>
                <w:sz w:val="21"/>
                <w:szCs w:val="21"/>
              </w:rPr>
              <w:t>日当たりの土砂の搬入量</w:t>
            </w:r>
            <w:r w:rsidR="00E6355A">
              <w:rPr>
                <w:rFonts w:hint="eastAsia"/>
                <w:sz w:val="21"/>
                <w:szCs w:val="21"/>
              </w:rPr>
              <w:t>(</w:t>
            </w:r>
            <w:r w:rsidR="00A02FE8" w:rsidRPr="00D63B1B">
              <w:rPr>
                <w:rFonts w:hint="eastAsia"/>
                <w:sz w:val="21"/>
                <w:szCs w:val="21"/>
              </w:rPr>
              <w:t>搬出量</w:t>
            </w:r>
            <w:r w:rsidR="00E6355A">
              <w:rPr>
                <w:rFonts w:hint="eastAsia"/>
                <w:sz w:val="21"/>
                <w:szCs w:val="21"/>
              </w:rPr>
              <w:t>)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　　</w:t>
            </w:r>
            <w:r w:rsidR="00E6355A">
              <w:rPr>
                <w:rFonts w:hint="eastAsia"/>
                <w:sz w:val="21"/>
                <w:szCs w:val="21"/>
              </w:rPr>
              <w:t>(</w:t>
            </w:r>
            <w:r w:rsidR="00A02FE8" w:rsidRPr="00D63B1B">
              <w:rPr>
                <w:rFonts w:hint="eastAsia"/>
                <w:sz w:val="21"/>
                <w:szCs w:val="21"/>
              </w:rPr>
              <w:t>㎥</w:t>
            </w:r>
            <w:r w:rsidR="00E6355A">
              <w:rPr>
                <w:sz w:val="21"/>
                <w:szCs w:val="21"/>
              </w:rPr>
              <w:t>）</w:t>
            </w:r>
          </w:p>
        </w:tc>
        <w:tc>
          <w:tcPr>
            <w:tcW w:w="2739" w:type="dxa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搬入</w:t>
            </w:r>
            <w:r w:rsidR="00E6355A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搬出</w:t>
            </w:r>
            <w:r w:rsidR="00E6355A">
              <w:rPr>
                <w:rFonts w:hint="eastAsia"/>
                <w:sz w:val="21"/>
                <w:szCs w:val="21"/>
              </w:rPr>
              <w:t>)</w:t>
            </w:r>
            <w:r w:rsidRPr="00D63B1B">
              <w:rPr>
                <w:rFonts w:hint="eastAsia"/>
                <w:sz w:val="21"/>
                <w:szCs w:val="21"/>
              </w:rPr>
              <w:t xml:space="preserve">のための車両台数　　　　　　　</w:t>
            </w:r>
            <w:r w:rsidR="00E6355A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台</w:t>
            </w:r>
            <w:r w:rsidR="00E6355A">
              <w:rPr>
                <w:sz w:val="21"/>
                <w:szCs w:val="21"/>
              </w:rPr>
              <w:t>）</w:t>
            </w: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E6355A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323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備考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E6355A">
        <w:rPr>
          <w:rFonts w:hint="eastAsia"/>
          <w:sz w:val="21"/>
          <w:szCs w:val="21"/>
        </w:rPr>
        <w:t>1</w:t>
      </w:r>
      <w:r w:rsidRPr="00D63B1B">
        <w:rPr>
          <w:rFonts w:hint="eastAsia"/>
          <w:sz w:val="21"/>
          <w:szCs w:val="21"/>
        </w:rPr>
        <w:t xml:space="preserve">　土砂</w:t>
      </w:r>
      <w:r w:rsidR="00E6355A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管理台帳は、土砂</w:t>
      </w:r>
      <w:r w:rsidR="00E6355A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の発生場所ごとに作成し、</w:t>
      </w:r>
      <w:r w:rsidR="00E6355A">
        <w:rPr>
          <w:rFonts w:hint="eastAsia"/>
          <w:sz w:val="21"/>
          <w:szCs w:val="21"/>
        </w:rPr>
        <w:t>1</w:t>
      </w:r>
      <w:r w:rsidRPr="00D63B1B">
        <w:rPr>
          <w:rFonts w:hint="eastAsia"/>
          <w:sz w:val="21"/>
          <w:szCs w:val="21"/>
        </w:rPr>
        <w:t>日ごとに記入してください。</w:t>
      </w:r>
    </w:p>
    <w:p w:rsidR="00A02FE8" w:rsidRPr="00D63B1B" w:rsidRDefault="00A02FE8" w:rsidP="009166FC">
      <w:pPr>
        <w:autoSpaceDN w:val="0"/>
        <w:ind w:left="420" w:hangingChars="200" w:hanging="4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E6355A">
        <w:rPr>
          <w:rFonts w:hint="eastAsia"/>
          <w:sz w:val="21"/>
          <w:szCs w:val="21"/>
        </w:rPr>
        <w:t>2</w:t>
      </w:r>
      <w:r w:rsidRPr="00D63B1B">
        <w:rPr>
          <w:rFonts w:hint="eastAsia"/>
          <w:sz w:val="21"/>
          <w:szCs w:val="21"/>
        </w:rPr>
        <w:t xml:space="preserve">　土砂</w:t>
      </w:r>
      <w:r w:rsidR="00E6355A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を発生させた事業者の氏名</w:t>
      </w:r>
      <w:r w:rsidR="00E6355A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住所の欄</w:t>
      </w:r>
      <w:r w:rsidR="00E6355A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土砂を発生させた工事等の名称の欄は、一時堆積の場合は、記載不要です。</w:t>
      </w: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431" w:rsidRDefault="005E6431">
      <w:r>
        <w:separator/>
      </w:r>
    </w:p>
  </w:endnote>
  <w:endnote w:type="continuationSeparator" w:id="0">
    <w:p w:rsidR="005E6431" w:rsidRDefault="005E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431" w:rsidRDefault="005E6431">
      <w:r>
        <w:separator/>
      </w:r>
    </w:p>
  </w:footnote>
  <w:footnote w:type="continuationSeparator" w:id="0">
    <w:p w:rsidR="005E6431" w:rsidRDefault="005E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362462">
    <w:abstractNumId w:val="9"/>
  </w:num>
  <w:num w:numId="2" w16cid:durableId="1960985328">
    <w:abstractNumId w:val="7"/>
  </w:num>
  <w:num w:numId="3" w16cid:durableId="739444748">
    <w:abstractNumId w:val="6"/>
  </w:num>
  <w:num w:numId="4" w16cid:durableId="1439719822">
    <w:abstractNumId w:val="5"/>
  </w:num>
  <w:num w:numId="5" w16cid:durableId="1399286237">
    <w:abstractNumId w:val="4"/>
  </w:num>
  <w:num w:numId="6" w16cid:durableId="198208478">
    <w:abstractNumId w:val="8"/>
  </w:num>
  <w:num w:numId="7" w16cid:durableId="2084256214">
    <w:abstractNumId w:val="3"/>
  </w:num>
  <w:num w:numId="8" w16cid:durableId="2003972875">
    <w:abstractNumId w:val="2"/>
  </w:num>
  <w:num w:numId="9" w16cid:durableId="1659458834">
    <w:abstractNumId w:val="1"/>
  </w:num>
  <w:num w:numId="10" w16cid:durableId="1773670248">
    <w:abstractNumId w:val="0"/>
  </w:num>
  <w:num w:numId="11" w16cid:durableId="761535754">
    <w:abstractNumId w:val="12"/>
  </w:num>
  <w:num w:numId="12" w16cid:durableId="980236477">
    <w:abstractNumId w:val="10"/>
  </w:num>
  <w:num w:numId="13" w16cid:durableId="1610045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312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756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319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33A6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2D41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877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31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1D8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2D56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3BB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B19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49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355A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3804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1CFE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3B3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5DCC876-37AC-4E4F-884A-155B733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2068-9A59-44E2-AD5B-A7461498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2019-10-14T06:01:00Z</cp:lastPrinted>
  <dcterms:created xsi:type="dcterms:W3CDTF">2025-09-12T15:05:00Z</dcterms:created>
  <dcterms:modified xsi:type="dcterms:W3CDTF">2025-09-12T15:05:00Z</dcterms:modified>
</cp:coreProperties>
</file>